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E71B4">
      <w:pPr>
        <w:spacing w:line="560" w:lineRule="exact"/>
        <w:rPr>
          <w:rFonts w:ascii="方正小标宋_GBK" w:hAnsi="方正小标宋_GBK" w:eastAsia="方正小标宋_GBK" w:cs="方正小标宋_GBK"/>
          <w:color w:val="000000"/>
          <w:sz w:val="28"/>
          <w:szCs w:val="28"/>
        </w:rPr>
      </w:pPr>
      <w:r>
        <w:rPr>
          <w:rFonts w:hint="eastAsia" w:ascii="方正小标宋_GBK" w:hAnsi="方正小标宋_GBK" w:eastAsia="方正小标宋_GBK" w:cs="方正小标宋_GBK"/>
          <w:color w:val="000000"/>
          <w:sz w:val="28"/>
          <w:szCs w:val="28"/>
        </w:rPr>
        <w:t>附件</w:t>
      </w:r>
      <w:r>
        <w:rPr>
          <w:rFonts w:ascii="方正小标宋_GBK" w:hAnsi="方正小标宋_GBK" w:eastAsia="方正小标宋_GBK" w:cs="方正小标宋_GBK"/>
          <w:color w:val="000000"/>
          <w:sz w:val="28"/>
          <w:szCs w:val="28"/>
        </w:rPr>
        <w:t>1：</w:t>
      </w:r>
    </w:p>
    <w:p w14:paraId="15954095">
      <w:pPr>
        <w:spacing w:line="560" w:lineRule="exact"/>
        <w:ind w:firstLine="540" w:firstLineChars="150"/>
        <w:jc w:val="center"/>
        <w:rPr>
          <w:rFonts w:ascii="方正小标宋_GBK" w:hAnsi="Times New Roman" w:eastAsia="方正小标宋_GBK" w:cs="Times New Roman"/>
          <w:color w:val="000000"/>
          <w:sz w:val="36"/>
          <w:szCs w:val="36"/>
        </w:rPr>
      </w:pPr>
      <w:r>
        <w:rPr>
          <w:rFonts w:hint="eastAsia" w:ascii="方正小标宋_GBK" w:hAnsi="方正小标宋_GBK" w:eastAsia="方正小标宋_GBK" w:cs="方正小标宋_GBK"/>
          <w:color w:val="000000"/>
          <w:sz w:val="36"/>
          <w:szCs w:val="36"/>
          <w:lang w:val="en-US" w:eastAsia="zh-CN"/>
        </w:rPr>
        <w:t>泉州幼儿师范高等专科学校</w:t>
      </w:r>
      <w:r>
        <w:rPr>
          <w:rFonts w:hint="eastAsia" w:ascii="方正小标宋_GBK" w:hAnsi="方正小标宋_GBK" w:eastAsia="方正小标宋_GBK" w:cs="方正小标宋_GBK"/>
          <w:color w:val="000000"/>
          <w:sz w:val="36"/>
          <w:szCs w:val="36"/>
          <w:lang w:eastAsia="zh-CN"/>
        </w:rPr>
        <w:t>互联网信息</w:t>
      </w:r>
      <w:r>
        <w:rPr>
          <w:rFonts w:hint="eastAsia" w:ascii="方正小标宋_GBK" w:hAnsi="方正小标宋_GBK" w:eastAsia="方正小标宋_GBK" w:cs="方正小标宋_GBK"/>
          <w:color w:val="000000"/>
          <w:sz w:val="36"/>
          <w:szCs w:val="36"/>
        </w:rPr>
        <w:t>服务项目招标要求</w:t>
      </w:r>
    </w:p>
    <w:p w14:paraId="6D751036">
      <w:pPr>
        <w:spacing w:line="280" w:lineRule="exact"/>
        <w:jc w:val="center"/>
        <w:rPr>
          <w:rFonts w:ascii="Times New Roman" w:hAnsi="Times New Roman" w:eastAsia="仿宋_GB2312" w:cs="Times New Roman"/>
          <w:color w:val="000000"/>
          <w:szCs w:val="21"/>
        </w:rPr>
      </w:pPr>
      <w:r>
        <w:rPr>
          <w:rFonts w:ascii="Times New Roman" w:hAnsi="Times New Roman" w:eastAsia="仿宋_GB2312" w:cs="Times New Roman"/>
          <w:color w:val="000000"/>
          <w:szCs w:val="21"/>
        </w:rPr>
        <w:t xml:space="preserve"> </w:t>
      </w:r>
    </w:p>
    <w:p w14:paraId="1A2CD507">
      <w:pPr>
        <w:autoSpaceDE w:val="0"/>
        <w:autoSpaceDN w:val="0"/>
        <w:adjustRightInd w:val="0"/>
        <w:spacing w:line="560" w:lineRule="exact"/>
        <w:ind w:firstLine="640" w:firstLineChars="200"/>
        <w:jc w:val="left"/>
        <w:rPr>
          <w:rFonts w:ascii="黑体" w:hAnsi="宋体" w:eastAsia="黑体" w:cs="仿宋"/>
          <w:color w:val="000000"/>
          <w:kern w:val="0"/>
          <w:sz w:val="32"/>
          <w:szCs w:val="32"/>
        </w:rPr>
      </w:pPr>
      <w:r>
        <w:rPr>
          <w:rFonts w:hint="eastAsia" w:ascii="黑体" w:hAnsi="宋体" w:eastAsia="黑体" w:cs="黑体"/>
          <w:color w:val="000000"/>
          <w:kern w:val="0"/>
          <w:sz w:val="32"/>
          <w:szCs w:val="32"/>
        </w:rPr>
        <w:t>一、采购货物一览表</w:t>
      </w:r>
    </w:p>
    <w:tbl>
      <w:tblPr>
        <w:tblStyle w:val="5"/>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129"/>
        <w:gridCol w:w="873"/>
        <w:gridCol w:w="3915"/>
        <w:gridCol w:w="1307"/>
        <w:gridCol w:w="1646"/>
      </w:tblGrid>
      <w:tr w14:paraId="3072A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tcBorders>
              <w:top w:val="single" w:color="auto" w:sz="4" w:space="0"/>
              <w:left w:val="single" w:color="auto" w:sz="4" w:space="0"/>
              <w:bottom w:val="single" w:color="auto" w:sz="4" w:space="0"/>
              <w:right w:val="single" w:color="auto" w:sz="4" w:space="0"/>
            </w:tcBorders>
            <w:shd w:val="clear" w:color="auto" w:fill="auto"/>
            <w:vAlign w:val="center"/>
          </w:tcPr>
          <w:p w14:paraId="22A37B43">
            <w:pPr>
              <w:spacing w:line="280" w:lineRule="exact"/>
              <w:jc w:val="center"/>
              <w:rPr>
                <w:rFonts w:ascii="Calibri" w:hAnsi="Calibri" w:eastAsia="仿宋_GB2312" w:cs="Times New Roman"/>
                <w:color w:val="000000"/>
                <w:szCs w:val="21"/>
              </w:rPr>
            </w:pPr>
            <w:r>
              <w:rPr>
                <w:rFonts w:hint="eastAsia" w:ascii="仿宋_GB2312" w:hAnsi="Calibri" w:eastAsia="仿宋_GB2312" w:cs="仿宋_GB2312"/>
                <w:color w:val="000000"/>
                <w:szCs w:val="21"/>
              </w:rPr>
              <w:t>合同包</w:t>
            </w:r>
          </w:p>
        </w:tc>
        <w:tc>
          <w:tcPr>
            <w:tcW w:w="873" w:type="dxa"/>
            <w:tcBorders>
              <w:top w:val="single" w:color="auto" w:sz="4" w:space="0"/>
              <w:left w:val="single" w:color="auto" w:sz="4" w:space="0"/>
              <w:bottom w:val="single" w:color="auto" w:sz="4" w:space="0"/>
              <w:right w:val="single" w:color="auto" w:sz="4" w:space="0"/>
            </w:tcBorders>
            <w:shd w:val="clear" w:color="auto" w:fill="auto"/>
            <w:vAlign w:val="center"/>
          </w:tcPr>
          <w:p w14:paraId="10C6465F">
            <w:pPr>
              <w:spacing w:line="280" w:lineRule="exact"/>
              <w:jc w:val="center"/>
              <w:rPr>
                <w:rFonts w:ascii="Calibri" w:hAnsi="Calibri" w:eastAsia="仿宋_GB2312" w:cs="Times New Roman"/>
                <w:color w:val="000000"/>
                <w:szCs w:val="21"/>
              </w:rPr>
            </w:pPr>
            <w:r>
              <w:rPr>
                <w:rFonts w:hint="eastAsia" w:ascii="仿宋_GB2312" w:hAnsi="Calibri" w:eastAsia="仿宋_GB2312" w:cs="仿宋_GB2312"/>
                <w:color w:val="000000"/>
                <w:szCs w:val="21"/>
                <w:lang w:val="en-US" w:eastAsia="zh-CN"/>
              </w:rPr>
              <w:t>序号</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14:paraId="566C025D">
            <w:pPr>
              <w:spacing w:line="280" w:lineRule="exact"/>
              <w:jc w:val="center"/>
              <w:rPr>
                <w:rFonts w:ascii="Calibri" w:hAnsi="Calibri" w:eastAsia="仿宋_GB2312" w:cs="Times New Roman"/>
                <w:color w:val="000000"/>
                <w:szCs w:val="21"/>
              </w:rPr>
            </w:pPr>
            <w:r>
              <w:rPr>
                <w:rFonts w:hint="eastAsia" w:ascii="仿宋_GB2312" w:hAnsi="Calibri" w:eastAsia="仿宋_GB2312" w:cs="仿宋_GB2312"/>
                <w:color w:val="000000"/>
                <w:szCs w:val="21"/>
              </w:rPr>
              <w:t>采购服务名称</w:t>
            </w:r>
          </w:p>
        </w:tc>
        <w:tc>
          <w:tcPr>
            <w:tcW w:w="1307" w:type="dxa"/>
            <w:tcBorders>
              <w:top w:val="single" w:color="auto" w:sz="4" w:space="0"/>
              <w:left w:val="single" w:color="auto" w:sz="4" w:space="0"/>
              <w:bottom w:val="single" w:color="auto" w:sz="4" w:space="0"/>
              <w:right w:val="single" w:color="auto" w:sz="4" w:space="0"/>
            </w:tcBorders>
            <w:shd w:val="clear" w:color="auto" w:fill="auto"/>
            <w:vAlign w:val="center"/>
          </w:tcPr>
          <w:p w14:paraId="419D2A4C">
            <w:pPr>
              <w:spacing w:line="280" w:lineRule="exact"/>
              <w:jc w:val="center"/>
              <w:rPr>
                <w:rFonts w:ascii="Calibri" w:hAnsi="Calibri" w:eastAsia="仿宋_GB2312" w:cs="Times New Roman"/>
                <w:color w:val="000000"/>
                <w:szCs w:val="21"/>
              </w:rPr>
            </w:pPr>
            <w:r>
              <w:rPr>
                <w:rFonts w:hint="eastAsia" w:ascii="仿宋_GB2312" w:hAnsi="Calibri" w:eastAsia="仿宋_GB2312" w:cs="仿宋_GB2312"/>
                <w:color w:val="000000"/>
                <w:szCs w:val="21"/>
              </w:rPr>
              <w:t>服务期限</w:t>
            </w:r>
          </w:p>
        </w:tc>
        <w:tc>
          <w:tcPr>
            <w:tcW w:w="1646" w:type="dxa"/>
            <w:tcBorders>
              <w:top w:val="single" w:color="auto" w:sz="4" w:space="0"/>
              <w:left w:val="single" w:color="auto" w:sz="4" w:space="0"/>
              <w:bottom w:val="single" w:color="auto" w:sz="4" w:space="0"/>
              <w:right w:val="single" w:color="auto" w:sz="4" w:space="0"/>
            </w:tcBorders>
            <w:shd w:val="clear" w:color="auto" w:fill="auto"/>
            <w:vAlign w:val="center"/>
          </w:tcPr>
          <w:p w14:paraId="217A5E82">
            <w:pPr>
              <w:spacing w:line="280" w:lineRule="exact"/>
              <w:jc w:val="center"/>
              <w:rPr>
                <w:rFonts w:ascii="Calibri" w:hAnsi="Calibri" w:eastAsia="仿宋_GB2312" w:cs="Times New Roman"/>
                <w:color w:val="000000"/>
                <w:szCs w:val="21"/>
              </w:rPr>
            </w:pPr>
            <w:r>
              <w:rPr>
                <w:rFonts w:hint="eastAsia" w:ascii="仿宋_GB2312" w:hAnsi="Calibri" w:eastAsia="仿宋_GB2312" w:cs="仿宋_GB2312"/>
                <w:color w:val="000000"/>
                <w:szCs w:val="21"/>
              </w:rPr>
              <w:t>预算金额（元）</w:t>
            </w:r>
          </w:p>
        </w:tc>
      </w:tr>
      <w:tr w14:paraId="33205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restart"/>
            <w:tcBorders>
              <w:top w:val="nil"/>
              <w:left w:val="single" w:color="auto" w:sz="4" w:space="0"/>
              <w:right w:val="single" w:color="auto" w:sz="4" w:space="0"/>
            </w:tcBorders>
            <w:shd w:val="clear" w:color="auto" w:fill="auto"/>
            <w:vAlign w:val="center"/>
          </w:tcPr>
          <w:p w14:paraId="2A645639">
            <w:pPr>
              <w:spacing w:line="280" w:lineRule="exact"/>
              <w:jc w:val="center"/>
              <w:rPr>
                <w:rFonts w:ascii="仿宋_GB2312" w:hAnsi="Calibri" w:eastAsia="仿宋_GB2312" w:cs="仿宋_GB2312"/>
                <w:color w:val="000000"/>
                <w:szCs w:val="21"/>
              </w:rPr>
            </w:pPr>
            <w:r>
              <w:rPr>
                <w:rFonts w:ascii="仿宋_GB2312" w:hAnsi="Calibri" w:eastAsia="仿宋_GB2312" w:cs="仿宋_GB2312"/>
                <w:color w:val="000000"/>
                <w:szCs w:val="21"/>
              </w:rPr>
              <w:t>1</w:t>
            </w:r>
          </w:p>
        </w:tc>
        <w:tc>
          <w:tcPr>
            <w:tcW w:w="873" w:type="dxa"/>
            <w:tcBorders>
              <w:top w:val="single" w:color="auto" w:sz="4" w:space="0"/>
              <w:left w:val="single" w:color="auto" w:sz="4" w:space="0"/>
              <w:bottom w:val="single" w:color="auto" w:sz="4" w:space="0"/>
              <w:right w:val="single" w:color="auto" w:sz="4" w:space="0"/>
            </w:tcBorders>
            <w:shd w:val="clear" w:color="auto" w:fill="auto"/>
            <w:vAlign w:val="center"/>
          </w:tcPr>
          <w:p w14:paraId="6C3FBC04">
            <w:pPr>
              <w:spacing w:line="280" w:lineRule="exact"/>
              <w:jc w:val="center"/>
              <w:rPr>
                <w:rFonts w:ascii="仿宋_GB2312" w:hAnsi="Calibri" w:eastAsia="仿宋_GB2312" w:cs="仿宋_GB2312"/>
                <w:color w:val="000000"/>
                <w:szCs w:val="21"/>
              </w:rPr>
            </w:pPr>
            <w:r>
              <w:rPr>
                <w:rFonts w:ascii="仿宋_GB2312" w:hAnsi="Calibri" w:eastAsia="仿宋_GB2312" w:cs="仿宋_GB2312"/>
                <w:color w:val="000000"/>
                <w:szCs w:val="21"/>
              </w:rPr>
              <w:t>1</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14:paraId="0EAEB8C9">
            <w:pPr>
              <w:spacing w:line="280" w:lineRule="exact"/>
              <w:jc w:val="center"/>
              <w:rPr>
                <w:rFonts w:ascii="仿宋_GB2312" w:hAnsi="Calibri" w:eastAsia="仿宋_GB2312" w:cs="仿宋_GB2312"/>
                <w:color w:val="000000"/>
                <w:szCs w:val="21"/>
              </w:rPr>
            </w:pPr>
            <w:r>
              <w:rPr>
                <w:rFonts w:hint="eastAsia" w:ascii="仿宋_GB2312" w:hAnsi="Calibri" w:eastAsia="仿宋_GB2312" w:cs="仿宋_GB2312"/>
                <w:color w:val="000000"/>
                <w:szCs w:val="21"/>
                <w:lang w:val="en-US" w:eastAsia="zh-CN"/>
              </w:rPr>
              <w:t>互联网</w:t>
            </w:r>
            <w:r>
              <w:rPr>
                <w:rFonts w:hint="eastAsia" w:ascii="仿宋_GB2312" w:hAnsi="Calibri" w:eastAsia="仿宋_GB2312" w:cs="仿宋_GB2312"/>
                <w:color w:val="000000"/>
                <w:szCs w:val="21"/>
              </w:rPr>
              <w:t>信息人工监测预警及应急服务</w:t>
            </w:r>
          </w:p>
        </w:tc>
        <w:tc>
          <w:tcPr>
            <w:tcW w:w="1307" w:type="dxa"/>
            <w:vMerge w:val="restart"/>
            <w:tcBorders>
              <w:top w:val="single" w:color="auto" w:sz="4" w:space="0"/>
              <w:left w:val="single" w:color="auto" w:sz="4" w:space="0"/>
              <w:right w:val="single" w:color="auto" w:sz="4" w:space="0"/>
            </w:tcBorders>
            <w:shd w:val="clear" w:color="auto" w:fill="auto"/>
            <w:vAlign w:val="center"/>
          </w:tcPr>
          <w:p w14:paraId="3D73090F">
            <w:pPr>
              <w:spacing w:line="280" w:lineRule="exact"/>
              <w:jc w:val="center"/>
              <w:rPr>
                <w:rFonts w:ascii="仿宋_GB2312" w:hAnsi="Calibri" w:eastAsia="仿宋_GB2312" w:cs="仿宋_GB2312"/>
                <w:color w:val="000000"/>
                <w:szCs w:val="21"/>
              </w:rPr>
            </w:pPr>
            <w:r>
              <w:rPr>
                <w:rFonts w:hint="eastAsia" w:ascii="仿宋_GB2312" w:hAnsi="Calibri" w:eastAsia="仿宋_GB2312" w:cs="仿宋_GB2312"/>
                <w:color w:val="000000"/>
                <w:szCs w:val="21"/>
                <w:lang w:val="en-US" w:eastAsia="zh-CN"/>
              </w:rPr>
              <w:t>2</w:t>
            </w:r>
            <w:r>
              <w:rPr>
                <w:rFonts w:hint="eastAsia" w:ascii="仿宋_GB2312" w:hAnsi="Calibri" w:eastAsia="仿宋_GB2312" w:cs="仿宋_GB2312"/>
                <w:color w:val="000000"/>
                <w:szCs w:val="21"/>
              </w:rPr>
              <w:t>年</w:t>
            </w:r>
          </w:p>
        </w:tc>
        <w:tc>
          <w:tcPr>
            <w:tcW w:w="1646" w:type="dxa"/>
            <w:vMerge w:val="restart"/>
            <w:tcBorders>
              <w:top w:val="single" w:color="auto" w:sz="4" w:space="0"/>
              <w:left w:val="single" w:color="auto" w:sz="4" w:space="0"/>
              <w:right w:val="single" w:color="auto" w:sz="4" w:space="0"/>
            </w:tcBorders>
            <w:shd w:val="clear" w:color="auto" w:fill="auto"/>
            <w:vAlign w:val="center"/>
          </w:tcPr>
          <w:p w14:paraId="23BA5BB8">
            <w:pPr>
              <w:spacing w:line="280" w:lineRule="exact"/>
              <w:jc w:val="center"/>
              <w:rPr>
                <w:rFonts w:hint="default" w:ascii="仿宋_GB2312" w:hAnsi="Calibri" w:eastAsia="仿宋_GB2312" w:cs="仿宋_GB2312"/>
                <w:color w:val="000000"/>
                <w:szCs w:val="21"/>
                <w:lang w:val="en-US" w:eastAsia="zh-CN"/>
              </w:rPr>
            </w:pPr>
            <w:r>
              <w:rPr>
                <w:rFonts w:hint="eastAsia" w:ascii="仿宋_GB2312" w:hAnsi="Calibri" w:eastAsia="仿宋_GB2312" w:cs="仿宋_GB2312"/>
                <w:color w:val="000000"/>
                <w:szCs w:val="21"/>
                <w:lang w:val="en-US" w:eastAsia="zh-CN"/>
              </w:rPr>
              <w:t>9.5万</w:t>
            </w:r>
          </w:p>
        </w:tc>
      </w:tr>
      <w:tr w14:paraId="6E60E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atLeast"/>
          <w:jc w:val="center"/>
        </w:trPr>
        <w:tc>
          <w:tcPr>
            <w:tcW w:w="1129" w:type="dxa"/>
            <w:vMerge w:val="continue"/>
            <w:tcBorders>
              <w:left w:val="single" w:color="auto" w:sz="4" w:space="0"/>
              <w:right w:val="single" w:color="auto" w:sz="4" w:space="0"/>
            </w:tcBorders>
            <w:shd w:val="clear" w:color="auto" w:fill="auto"/>
            <w:vAlign w:val="center"/>
          </w:tcPr>
          <w:p w14:paraId="0B910489">
            <w:pPr>
              <w:spacing w:line="280" w:lineRule="exact"/>
              <w:jc w:val="center"/>
              <w:rPr>
                <w:rFonts w:ascii="仿宋_GB2312" w:hAnsi="Calibri" w:eastAsia="仿宋_GB2312" w:cs="仿宋_GB2312"/>
                <w:color w:val="000000"/>
                <w:szCs w:val="21"/>
              </w:rPr>
            </w:pPr>
          </w:p>
        </w:tc>
        <w:tc>
          <w:tcPr>
            <w:tcW w:w="873" w:type="dxa"/>
            <w:tcBorders>
              <w:top w:val="single" w:color="auto" w:sz="4" w:space="0"/>
              <w:left w:val="single" w:color="auto" w:sz="4" w:space="0"/>
              <w:bottom w:val="single" w:color="auto" w:sz="4" w:space="0"/>
              <w:right w:val="single" w:color="auto" w:sz="4" w:space="0"/>
            </w:tcBorders>
            <w:shd w:val="clear" w:color="auto" w:fill="auto"/>
            <w:vAlign w:val="center"/>
          </w:tcPr>
          <w:p w14:paraId="2E5FFAC7">
            <w:pPr>
              <w:spacing w:line="280" w:lineRule="exact"/>
              <w:jc w:val="center"/>
              <w:rPr>
                <w:rFonts w:ascii="仿宋_GB2312" w:hAnsi="Calibri" w:eastAsia="仿宋_GB2312" w:cs="仿宋_GB2312"/>
                <w:color w:val="000000"/>
                <w:szCs w:val="21"/>
              </w:rPr>
            </w:pPr>
            <w:r>
              <w:rPr>
                <w:rFonts w:ascii="仿宋_GB2312" w:hAnsi="Calibri" w:eastAsia="仿宋_GB2312" w:cs="仿宋_GB2312"/>
                <w:color w:val="000000"/>
                <w:szCs w:val="21"/>
              </w:rPr>
              <w:t>2</w:t>
            </w:r>
          </w:p>
        </w:tc>
        <w:tc>
          <w:tcPr>
            <w:tcW w:w="3915" w:type="dxa"/>
            <w:tcBorders>
              <w:top w:val="single" w:color="auto" w:sz="4" w:space="0"/>
              <w:left w:val="single" w:color="auto" w:sz="4" w:space="0"/>
              <w:bottom w:val="single" w:color="auto" w:sz="4" w:space="0"/>
              <w:right w:val="single" w:color="auto" w:sz="4" w:space="0"/>
            </w:tcBorders>
            <w:shd w:val="clear" w:color="auto" w:fill="auto"/>
            <w:vAlign w:val="center"/>
          </w:tcPr>
          <w:p w14:paraId="1E9B950B">
            <w:pPr>
              <w:spacing w:line="280" w:lineRule="exact"/>
              <w:jc w:val="center"/>
              <w:rPr>
                <w:rFonts w:ascii="仿宋_GB2312" w:hAnsi="Calibri" w:eastAsia="仿宋_GB2312" w:cs="仿宋_GB2312"/>
                <w:color w:val="000000"/>
                <w:szCs w:val="21"/>
              </w:rPr>
            </w:pPr>
            <w:r>
              <w:rPr>
                <w:rFonts w:hint="eastAsia" w:ascii="仿宋_GB2312" w:hAnsi="Calibri" w:eastAsia="仿宋_GB2312" w:cs="仿宋_GB2312"/>
                <w:color w:val="000000"/>
                <w:szCs w:val="21"/>
                <w:lang w:eastAsia="zh-CN"/>
              </w:rPr>
              <w:t>互联网信息</w:t>
            </w:r>
            <w:r>
              <w:rPr>
                <w:rFonts w:hint="eastAsia" w:ascii="仿宋_GB2312" w:hAnsi="Calibri" w:eastAsia="仿宋_GB2312" w:cs="仿宋_GB2312"/>
                <w:color w:val="000000"/>
                <w:szCs w:val="21"/>
              </w:rPr>
              <w:t>系统授权使用</w:t>
            </w:r>
          </w:p>
        </w:tc>
        <w:tc>
          <w:tcPr>
            <w:tcW w:w="1307" w:type="dxa"/>
            <w:vMerge w:val="continue"/>
            <w:tcBorders>
              <w:left w:val="single" w:color="auto" w:sz="4" w:space="0"/>
              <w:right w:val="single" w:color="auto" w:sz="4" w:space="0"/>
            </w:tcBorders>
            <w:shd w:val="clear" w:color="auto" w:fill="auto"/>
          </w:tcPr>
          <w:p w14:paraId="757FA97D">
            <w:pPr>
              <w:spacing w:line="280" w:lineRule="exact"/>
              <w:jc w:val="left"/>
              <w:rPr>
                <w:rFonts w:ascii="仿宋_GB2312" w:hAnsi="Calibri" w:eastAsia="仿宋_GB2312" w:cs="仿宋_GB2312"/>
                <w:color w:val="000000"/>
                <w:szCs w:val="21"/>
              </w:rPr>
            </w:pPr>
          </w:p>
        </w:tc>
        <w:tc>
          <w:tcPr>
            <w:tcW w:w="1646" w:type="dxa"/>
            <w:vMerge w:val="continue"/>
            <w:tcBorders>
              <w:left w:val="single" w:color="auto" w:sz="4" w:space="0"/>
              <w:right w:val="single" w:color="auto" w:sz="4" w:space="0"/>
            </w:tcBorders>
            <w:shd w:val="clear" w:color="auto" w:fill="auto"/>
            <w:vAlign w:val="center"/>
          </w:tcPr>
          <w:p w14:paraId="7AC49545">
            <w:pPr>
              <w:spacing w:line="280" w:lineRule="exact"/>
              <w:jc w:val="center"/>
              <w:rPr>
                <w:rFonts w:ascii="仿宋_GB2312" w:hAnsi="Calibri" w:eastAsia="仿宋_GB2312" w:cs="仿宋_GB2312"/>
                <w:color w:val="000000"/>
                <w:szCs w:val="21"/>
              </w:rPr>
            </w:pPr>
          </w:p>
        </w:tc>
      </w:tr>
    </w:tbl>
    <w:p w14:paraId="56679CC7">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Theme="minorEastAsia" w:hAnsiTheme="minorEastAsia" w:cstheme="minorEastAsia"/>
          <w:color w:val="000000" w:themeColor="text1"/>
          <w:kern w:val="0"/>
          <w:sz w:val="28"/>
          <w:szCs w:val="28"/>
          <w14:textFill>
            <w14:solidFill>
              <w14:schemeClr w14:val="tx1"/>
            </w14:solidFill>
          </w14:textFill>
        </w:rPr>
      </w:pPr>
      <w:r>
        <w:rPr>
          <w:rFonts w:hint="eastAsia" w:ascii="黑体" w:hAnsi="宋体" w:eastAsia="黑体" w:cs="黑体"/>
          <w:color w:val="000000"/>
          <w:kern w:val="0"/>
          <w:sz w:val="32"/>
          <w:szCs w:val="32"/>
        </w:rPr>
        <w:t>二、服务内容及相关要求</w:t>
      </w:r>
    </w:p>
    <w:p w14:paraId="3F20E49C">
      <w:pPr>
        <w:keepNext w:val="0"/>
        <w:keepLines w:val="0"/>
        <w:pageBreakBefore w:val="0"/>
        <w:widowControl w:val="0"/>
        <w:kinsoku/>
        <w:wordWrap/>
        <w:overflowPunct/>
        <w:topLinePunct w:val="0"/>
        <w:bidi w:val="0"/>
        <w:snapToGrid/>
        <w:spacing w:line="440" w:lineRule="exact"/>
        <w:ind w:firstLine="643" w:firstLineChars="200"/>
        <w:textAlignment w:val="auto"/>
        <w:rPr>
          <w:rFonts w:ascii="楷体_GB2312" w:hAnsi="楷体_GB2312" w:eastAsia="楷体_GB2312" w:cs="楷体_GB2312"/>
          <w:b/>
          <w:bCs/>
          <w:sz w:val="32"/>
          <w:szCs w:val="32"/>
        </w:rPr>
      </w:pPr>
      <w:bookmarkStart w:id="0" w:name="_Toc27231"/>
      <w:r>
        <w:rPr>
          <w:rFonts w:hint="eastAsia" w:ascii="楷体_GB2312" w:hAnsi="楷体_GB2312" w:eastAsia="楷体_GB2312" w:cs="楷体_GB2312"/>
          <w:b/>
          <w:bCs/>
          <w:sz w:val="32"/>
          <w:szCs w:val="32"/>
        </w:rPr>
        <w:t>（一）服务内容</w:t>
      </w:r>
      <w:bookmarkEnd w:id="0"/>
    </w:p>
    <w:p w14:paraId="09F26A23">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建立学校</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服务的技术保障体系和服务保障体系，为学校收集、研判</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和科学决策服务。一是建立</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服务平台，具备信息抓取、定向监测、图片识别、</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预警、</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分析、</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追踪、</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汇总的功能；二是建立人工实时监测、预警、报告及</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引导服务，提供开展人工监测、</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引导、常规报告、专项报告、保守工作秘密、指定专门人员对接工作的服务。</w:t>
      </w:r>
    </w:p>
    <w:p w14:paraId="32EE5A9E">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供应商应安排专业人员使用专业网络监测平台对采购方相关</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信息源包含且不限于互联网新闻、论坛、博客、平媒、视频、微博、微信公众号、手机APP、小视频等）进行实时监测、研判，识别其中的网络风险隐患，形成预警及周期性报告。在事件发生时利用案例研判系统等有效手段对相关事件进行快速准确研判，并提供处置建议等。</w:t>
      </w:r>
    </w:p>
    <w:p w14:paraId="48E8F25D">
      <w:pPr>
        <w:keepNext w:val="0"/>
        <w:keepLines w:val="0"/>
        <w:pageBreakBefore w:val="0"/>
        <w:widowControl w:val="0"/>
        <w:kinsoku/>
        <w:wordWrap/>
        <w:overflowPunct/>
        <w:topLinePunct w:val="0"/>
        <w:bidi w:val="0"/>
        <w:snapToGrid/>
        <w:spacing w:line="440" w:lineRule="exact"/>
        <w:ind w:firstLine="643" w:firstLineChars="200"/>
        <w:textAlignment w:val="auto"/>
        <w:rPr>
          <w:rFonts w:ascii="楷体_GB2312" w:hAnsi="楷体_GB2312" w:eastAsia="楷体_GB2312" w:cs="楷体_GB2312"/>
          <w:b/>
          <w:bCs/>
          <w:sz w:val="32"/>
          <w:szCs w:val="32"/>
        </w:rPr>
      </w:pPr>
      <w:bookmarkStart w:id="1" w:name="_Toc26330"/>
      <w:r>
        <w:rPr>
          <w:rFonts w:hint="eastAsia" w:ascii="楷体_GB2312" w:hAnsi="楷体_GB2312" w:eastAsia="楷体_GB2312" w:cs="楷体_GB2312"/>
          <w:b/>
          <w:bCs/>
          <w:sz w:val="32"/>
          <w:szCs w:val="32"/>
        </w:rPr>
        <w:t>（二）技术及服务要求</w:t>
      </w:r>
      <w:bookmarkEnd w:id="1"/>
    </w:p>
    <w:p w14:paraId="17012397">
      <w:pPr>
        <w:keepNext w:val="0"/>
        <w:keepLines w:val="0"/>
        <w:pageBreakBefore w:val="0"/>
        <w:widowControl w:val="0"/>
        <w:kinsoku/>
        <w:wordWrap/>
        <w:overflowPunct/>
        <w:topLinePunct w:val="0"/>
        <w:bidi w:val="0"/>
        <w:snapToGrid/>
        <w:spacing w:line="44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互联网信息</w:t>
      </w:r>
      <w:r>
        <w:rPr>
          <w:rFonts w:hint="eastAsia" w:ascii="仿宋_GB2312" w:hAnsi="仿宋_GB2312" w:eastAsia="仿宋_GB2312" w:cs="仿宋_GB2312"/>
          <w:b/>
          <w:bCs/>
          <w:sz w:val="32"/>
          <w:szCs w:val="32"/>
        </w:rPr>
        <w:t>人工监测预警及应急服务</w:t>
      </w:r>
    </w:p>
    <w:p w14:paraId="1799695A">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（1）实时监测预警服务：安排专职人员全年365天24小时进行</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实时监测。采集、分析、汇总、识别其中的敏感信息，及时通知人员，并在此基础上开展分析研判、风险评估、预警预测、应对处置等。</w:t>
      </w:r>
    </w:p>
    <w:p w14:paraId="7F1DD5A6">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（2）日常监测报告服务：在日常</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进行实时监测的基础上，开展分析研判、风险评估、预警预测、应对处置等，并将监测和分析结果按照要求，以周报、月报、年报形式提供给相关人员。报告内容（包含且不限于）：</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综述（</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走势、传播分析、情感分析）、</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热点（</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热度排名、热点事件分析、媒体报道概述）、</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点评等。</w:t>
      </w:r>
    </w:p>
    <w:p w14:paraId="03F4799B">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3）专项事件或时期监测与分析服务：对突发、专题事件（包括每个学期校内各类考试等，在考前、考中、考后，针对同学们在微博、论坛、百度贴吧等发布的相关信息，进行敏感性监测，并及时反馈。提供实时监测，即时通报，在此基础上开展分析研判、风险评估、预警预测、应对处置等，并将监测和分析结果按照专题报告格式成文，通过电子邮件提供。</w:t>
      </w:r>
    </w:p>
    <w:p w14:paraId="5EA759D4">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突发网络敏感事件监测与分析服务：对确定的突发网络敏感事件进行监测并提供分析报告，单独建立该突发事件监测专题，以电子邮件形式提供24小时级别的网络敏感事件即时报，提供网络敏感事件危机化解建议方案，并协助制定和完善网络敏感事件监测、分析、研判、预警机制。</w:t>
      </w:r>
    </w:p>
    <w:p w14:paraId="12EEEAC5">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）协助</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培训服务：协助学校组织开展内部人员</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培训，并协助制定</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工作相关的管理机制等。</w:t>
      </w:r>
    </w:p>
    <w:p w14:paraId="16266B95">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工作总结分析服务：在年度服务期结束前1个月内组织一次年度</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总结分析现场会，分析全年</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热点、走势、趋势，借鉴其他兄弟单位发生的典型</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案例与应对措施，提出今后年度</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工作建议。</w:t>
      </w:r>
    </w:p>
    <w:p w14:paraId="224CF6C1">
      <w:pPr>
        <w:keepNext w:val="0"/>
        <w:keepLines w:val="0"/>
        <w:pageBreakBefore w:val="0"/>
        <w:widowControl w:val="0"/>
        <w:kinsoku/>
        <w:wordWrap/>
        <w:overflowPunct/>
        <w:topLinePunct w:val="0"/>
        <w:bidi w:val="0"/>
        <w:snapToGrid/>
        <w:spacing w:line="4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t>）在年度服务期结束后，如果学校在进行新一轮招投标时与现有系统的服务期时间衔接不上时，可以提供过渡期使用至新合同</w:t>
      </w:r>
      <w:r>
        <w:rPr>
          <w:rFonts w:hint="eastAsia" w:ascii="仿宋_GB2312" w:hAnsi="仿宋_GB2312" w:eastAsia="仿宋_GB2312" w:cs="仿宋_GB2312"/>
          <w:sz w:val="32"/>
          <w:szCs w:val="32"/>
          <w:lang w:eastAsia="zh-CN"/>
        </w:rPr>
        <w:t>履行</w:t>
      </w:r>
      <w:r>
        <w:rPr>
          <w:rFonts w:hint="eastAsia" w:ascii="仿宋_GB2312" w:hAnsi="仿宋_GB2312" w:eastAsia="仿宋_GB2312" w:cs="仿宋_GB2312"/>
          <w:sz w:val="32"/>
          <w:szCs w:val="32"/>
        </w:rPr>
        <w:t>。</w:t>
      </w:r>
    </w:p>
    <w:p w14:paraId="4E24FB0A">
      <w:pPr>
        <w:keepNext w:val="0"/>
        <w:keepLines w:val="0"/>
        <w:pageBreakBefore w:val="0"/>
        <w:widowControl w:val="0"/>
        <w:kinsoku/>
        <w:wordWrap/>
        <w:overflowPunct/>
        <w:topLinePunct w:val="0"/>
        <w:bidi w:val="0"/>
        <w:snapToGrid/>
        <w:spacing w:line="440" w:lineRule="exact"/>
        <w:ind w:firstLine="640" w:firstLineChars="200"/>
        <w:textAlignment w:val="auto"/>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）能够支持</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数据下载，包括链接、发布时间等，及时保存相关</w:t>
      </w:r>
      <w:r>
        <w:rPr>
          <w:rFonts w:hint="eastAsia" w:ascii="仿宋_GB2312" w:hAnsi="仿宋_GB2312" w:eastAsia="仿宋_GB2312" w:cs="仿宋_GB2312"/>
          <w:sz w:val="32"/>
          <w:szCs w:val="32"/>
          <w:lang w:eastAsia="zh-CN"/>
        </w:rPr>
        <w:t>互联网信息</w:t>
      </w:r>
      <w:r>
        <w:rPr>
          <w:rFonts w:hint="eastAsia" w:ascii="仿宋_GB2312" w:hAnsi="仿宋_GB2312" w:eastAsia="仿宋_GB2312" w:cs="仿宋_GB2312"/>
          <w:sz w:val="32"/>
          <w:szCs w:val="32"/>
        </w:rPr>
        <w:t>线索，并提供操作培训支持。</w:t>
      </w:r>
    </w:p>
    <w:p w14:paraId="0FA4F752">
      <w:pPr>
        <w:keepNext w:val="0"/>
        <w:keepLines w:val="0"/>
        <w:pageBreakBefore w:val="0"/>
        <w:widowControl w:val="0"/>
        <w:numPr>
          <w:ilvl w:val="0"/>
          <w:numId w:val="1"/>
        </w:numPr>
        <w:kinsoku/>
        <w:wordWrap/>
        <w:overflowPunct/>
        <w:topLinePunct w:val="0"/>
        <w:bidi w:val="0"/>
        <w:snapToGrid/>
        <w:spacing w:line="4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互联网信息</w:t>
      </w:r>
      <w:r>
        <w:rPr>
          <w:rFonts w:hint="eastAsia" w:ascii="仿宋_GB2312" w:hAnsi="仿宋_GB2312" w:eastAsia="仿宋_GB2312" w:cs="仿宋_GB2312"/>
          <w:b/>
          <w:bCs/>
          <w:sz w:val="32"/>
          <w:szCs w:val="32"/>
        </w:rPr>
        <w:t>系统授权使用</w:t>
      </w:r>
    </w:p>
    <w:p w14:paraId="47EF54CC">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系统支持</w:t>
      </w:r>
      <w:r>
        <w:rPr>
          <w:rFonts w:hint="eastAsia" w:ascii="仿宋_GB2312" w:hAnsi="仿宋_GB2312" w:eastAsia="仿宋_GB2312" w:cs="仿宋_GB2312"/>
          <w:sz w:val="32"/>
          <w:szCs w:val="32"/>
          <w:lang w:val="en-US" w:eastAsia="zh-CN"/>
        </w:rPr>
        <w:t>实时</w:t>
      </w:r>
      <w:r>
        <w:rPr>
          <w:rFonts w:hint="eastAsia" w:ascii="仿宋_GB2312" w:hAnsi="仿宋_GB2312" w:eastAsia="仿宋_GB2312" w:cs="仿宋_GB2312"/>
          <w:sz w:val="32"/>
          <w:szCs w:val="32"/>
        </w:rPr>
        <w:t>对客户端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网站、微博、微信、互动论坛、视频、数字报等7</w:t>
      </w:r>
      <w:r>
        <w:rPr>
          <w:rFonts w:hint="eastAsia" w:ascii="仿宋_GB2312" w:hAnsi="仿宋_GB2312" w:eastAsia="仿宋_GB2312" w:cs="仿宋_GB2312"/>
          <w:sz w:val="32"/>
          <w:szCs w:val="32"/>
        </w:rPr>
        <w:t>个类别数据进行采集，</w:t>
      </w:r>
      <w:r>
        <w:rPr>
          <w:rFonts w:hint="eastAsia" w:ascii="仿宋_GB2312" w:hAnsi="仿宋_GB2312" w:eastAsia="仿宋_GB2312" w:cs="仿宋_GB2312"/>
          <w:sz w:val="32"/>
          <w:szCs w:val="32"/>
          <w:lang w:val="en-US" w:eastAsia="zh-CN"/>
        </w:rPr>
        <w:t>并能将其中的客户端数据按新闻APP、政务APP、行业APP、其他APP、新闻自媒体、行业自媒体、其他自媒体等7个二级目录进行分类呈现。</w:t>
      </w:r>
    </w:p>
    <w:p w14:paraId="21D670A4">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（2）系统支持对监测关键字的词距设置，两个关键词之间字距小于设定值的信息会显示，大于设定值则自动过滤不显示。</w:t>
      </w:r>
      <w:r>
        <w:rPr>
          <w:rFonts w:hint="eastAsia" w:ascii="仿宋_GB2312" w:hAnsi="仿宋_GB2312" w:eastAsia="仿宋_GB2312" w:cs="仿宋_GB2312"/>
          <w:b/>
          <w:bCs/>
          <w:sz w:val="32"/>
          <w:szCs w:val="32"/>
        </w:rPr>
        <w:t>（需提供截图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说明</w:t>
      </w:r>
      <w:r>
        <w:rPr>
          <w:rFonts w:hint="eastAsia" w:ascii="仿宋_GB2312" w:hAnsi="仿宋_GB2312" w:eastAsia="仿宋_GB2312" w:cs="仿宋_GB2312"/>
          <w:b/>
          <w:bCs/>
          <w:sz w:val="32"/>
          <w:szCs w:val="32"/>
          <w:lang w:val="en-US" w:eastAsia="zh-CN"/>
        </w:rPr>
        <w:t>并加盖单位公章</w:t>
      </w:r>
      <w:r>
        <w:rPr>
          <w:rFonts w:hint="eastAsia" w:ascii="仿宋_GB2312" w:hAnsi="仿宋_GB2312" w:eastAsia="仿宋_GB2312" w:cs="仿宋_GB2312"/>
          <w:b/>
          <w:bCs/>
          <w:sz w:val="32"/>
          <w:szCs w:val="32"/>
        </w:rPr>
        <w:t>）</w:t>
      </w:r>
    </w:p>
    <w:p w14:paraId="2E05BE5E">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3）系统支持实时采集新浪微博热搜榜数据，可呈现过去三年任何一天福建省九地市同城热搜数据，内容包含且不限于：热搜上榜时间、累计在榜时长、在榜期间搜索总量、在榜历史最高排名、热搜话题主持人、热搜话题在榜时段内阅读数、讨论数增量趋势数据图。</w:t>
      </w:r>
      <w:r>
        <w:rPr>
          <w:rFonts w:hint="eastAsia" w:ascii="仿宋_GB2312" w:hAnsi="仿宋_GB2312" w:eastAsia="仿宋_GB2312" w:cs="仿宋_GB2312"/>
          <w:b/>
          <w:bCs/>
          <w:sz w:val="32"/>
          <w:szCs w:val="32"/>
        </w:rPr>
        <w:t>（需提供截图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说明</w:t>
      </w:r>
      <w:r>
        <w:rPr>
          <w:rFonts w:hint="eastAsia" w:ascii="仿宋_GB2312" w:hAnsi="仿宋_GB2312" w:eastAsia="仿宋_GB2312" w:cs="仿宋_GB2312"/>
          <w:b/>
          <w:bCs/>
          <w:sz w:val="32"/>
          <w:szCs w:val="32"/>
          <w:lang w:val="en-US" w:eastAsia="zh-CN"/>
        </w:rPr>
        <w:t>并加盖单位公章</w:t>
      </w:r>
      <w:r>
        <w:rPr>
          <w:rFonts w:hint="eastAsia" w:ascii="仿宋_GB2312" w:hAnsi="仿宋_GB2312" w:eastAsia="仿宋_GB2312" w:cs="仿宋_GB2312"/>
          <w:b/>
          <w:bCs/>
          <w:sz w:val="32"/>
          <w:szCs w:val="32"/>
        </w:rPr>
        <w:t>）</w:t>
      </w:r>
    </w:p>
    <w:p w14:paraId="07468A47">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4）系统支持以单一事件视角，收录事件相关报道，形成“事件概况”“事件进程”“各方观点”“舆情阶段分析”“事件爆点分析”“微博话题增量”“媒体热度图”“关联事件对比”“处置回应分析”等研判栏目</w:t>
      </w:r>
      <w:r>
        <w:rPr>
          <w:rFonts w:hint="eastAsia" w:ascii="仿宋_GB2312" w:hAnsi="仿宋_GB2312" w:eastAsia="仿宋_GB2312" w:cs="仿宋_GB2312"/>
          <w:b w:val="0"/>
          <w:bCs w:val="0"/>
          <w:sz w:val="32"/>
          <w:szCs w:val="32"/>
          <w:lang w:val="en-US" w:eastAsia="zh-CN"/>
        </w:rPr>
        <w:t>（注：需结合系统分栏目呈现，并非分析报告模式）。</w:t>
      </w:r>
    </w:p>
    <w:p w14:paraId="7B83C5E9">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（5）系统舆情事件库提供不少于5000个舆情事件分析数据，并支持检索功能，可根据“事件概述”“涉事单位类型”“舆情类型”“事件发生月份”“创建人/更新人”“事件等级”等进行筛选呈现。</w:t>
      </w:r>
    </w:p>
    <w:p w14:paraId="6463352B">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 w:val="32"/>
          <w:szCs w:val="32"/>
          <w:lang w:val="en-US" w:eastAsia="zh-CN"/>
        </w:rPr>
        <w:t>（6）系统支持对某条舆情线索进行“情况核查”“联系撤帖”“评论引导”等指派特定部门或专人跟进的工作流程管理，系统自动记录该任务的完成情况及效果。</w:t>
      </w:r>
      <w:r>
        <w:rPr>
          <w:rFonts w:hint="eastAsia" w:ascii="仿宋_GB2312" w:hAnsi="仿宋_GB2312" w:eastAsia="仿宋_GB2312" w:cs="仿宋_GB2312"/>
          <w:b/>
          <w:bCs/>
          <w:sz w:val="32"/>
          <w:szCs w:val="32"/>
        </w:rPr>
        <w:t>（需提供截图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说明</w:t>
      </w:r>
      <w:r>
        <w:rPr>
          <w:rFonts w:hint="eastAsia" w:ascii="仿宋_GB2312" w:hAnsi="仿宋_GB2312" w:eastAsia="仿宋_GB2312" w:cs="仿宋_GB2312"/>
          <w:b/>
          <w:bCs/>
          <w:sz w:val="32"/>
          <w:szCs w:val="32"/>
          <w:lang w:val="en-US" w:eastAsia="zh-CN"/>
        </w:rPr>
        <w:t>并加盖单位公章</w:t>
      </w:r>
      <w:r>
        <w:rPr>
          <w:rFonts w:hint="eastAsia" w:ascii="仿宋_GB2312" w:hAnsi="仿宋_GB2312" w:eastAsia="仿宋_GB2312" w:cs="仿宋_GB2312"/>
          <w:b/>
          <w:bCs/>
          <w:sz w:val="32"/>
          <w:szCs w:val="32"/>
        </w:rPr>
        <w:t>）</w:t>
      </w:r>
    </w:p>
    <w:p w14:paraId="38966AD4">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（7）系统支持授权用户对特定事件的讨论和讨论回复，系统支持领导对特定事件进行批示，并能将该批示转为任务指派。</w:t>
      </w:r>
    </w:p>
    <w:p w14:paraId="02C99403">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（8）系统具有手机客户端模块，数据与网页版系统同步，手机客户端支持信息语音播报，能够自动播报舆情信息。</w:t>
      </w:r>
    </w:p>
    <w:p w14:paraId="5A82486C">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Theme="minorEastAsia" w:hAnsiTheme="minorEastAsia" w:cstheme="minorEastAsia"/>
          <w:color w:val="000000" w:themeColor="text1"/>
          <w:kern w:val="0"/>
          <w:sz w:val="28"/>
          <w:szCs w:val="28"/>
          <w14:textFill>
            <w14:solidFill>
              <w14:schemeClr w14:val="tx1"/>
            </w14:solidFill>
          </w14:textFill>
        </w:rPr>
      </w:pPr>
      <w:r>
        <w:rPr>
          <w:rFonts w:hint="eastAsia" w:ascii="黑体" w:hAnsi="宋体" w:eastAsia="黑体" w:cs="黑体"/>
          <w:color w:val="000000"/>
          <w:kern w:val="0"/>
          <w:sz w:val="32"/>
          <w:szCs w:val="32"/>
        </w:rPr>
        <w:t>三、违约责任要求</w:t>
      </w:r>
    </w:p>
    <w:p w14:paraId="1F45B4B2">
      <w:pPr>
        <w:numPr>
          <w:ilvl w:val="0"/>
          <w:numId w:val="0"/>
        </w:numPr>
        <w:autoSpaceDE w:val="0"/>
        <w:autoSpaceDN w:val="0"/>
        <w:adjustRightInd w:val="0"/>
        <w:spacing w:line="530" w:lineRule="exact"/>
        <w:ind w:firstLine="640" w:firstLineChars="200"/>
        <w:jc w:val="left"/>
        <w:rPr>
          <w:rFonts w:ascii="Times New Roman" w:hAnsi="Times New Roman" w:eastAsia="仿宋_GB2312" w:cs="Times New Roman"/>
          <w:kern w:val="0"/>
          <w:sz w:val="32"/>
          <w:szCs w:val="32"/>
        </w:rPr>
      </w:pPr>
      <w:r>
        <w:rPr>
          <w:rFonts w:hint="eastAsia" w:ascii="仿宋_GB2312" w:hAnsi="仿宋_GB2312" w:eastAsia="仿宋_GB2312" w:cs="仿宋_GB2312"/>
          <w:sz w:val="32"/>
          <w:szCs w:val="32"/>
          <w:lang w:val="en-US" w:eastAsia="zh-CN"/>
        </w:rPr>
        <w:t>1、</w:t>
      </w:r>
      <w:r>
        <w:rPr>
          <w:rFonts w:hint="eastAsia" w:ascii="Times New Roman" w:hAnsi="Times New Roman" w:eastAsia="仿宋_GB2312" w:cs="Times New Roman"/>
          <w:kern w:val="0"/>
          <w:sz w:val="32"/>
          <w:szCs w:val="32"/>
        </w:rPr>
        <w:t>根据</w:t>
      </w:r>
      <w:r>
        <w:rPr>
          <w:rFonts w:hint="eastAsia" w:ascii="Times New Roman" w:hAnsi="Times New Roman" w:eastAsia="仿宋_GB2312" w:cs="Times New Roman"/>
          <w:kern w:val="0"/>
          <w:sz w:val="32"/>
          <w:szCs w:val="32"/>
          <w:lang w:val="en-US" w:eastAsia="zh-CN"/>
        </w:rPr>
        <w:t>采购人</w:t>
      </w:r>
      <w:r>
        <w:rPr>
          <w:rFonts w:hint="eastAsia" w:ascii="Times New Roman" w:hAnsi="Times New Roman" w:eastAsia="仿宋_GB2312" w:cs="Times New Roman"/>
          <w:kern w:val="0"/>
          <w:sz w:val="32"/>
          <w:szCs w:val="32"/>
        </w:rPr>
        <w:t>要求在规定时间内执行及完成相关项目</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若未按时完成</w:t>
      </w:r>
      <w:r>
        <w:rPr>
          <w:rFonts w:ascii="Times New Roman" w:hAnsi="Times New Roman" w:eastAsia="仿宋_GB2312" w:cs="Times New Roman"/>
          <w:kern w:val="0"/>
          <w:sz w:val="32"/>
          <w:szCs w:val="32"/>
        </w:rPr>
        <w:t>，</w:t>
      </w:r>
      <w:r>
        <w:rPr>
          <w:rFonts w:hint="eastAsia" w:ascii="Times New Roman" w:hAnsi="Times New Roman" w:eastAsia="仿宋_GB2312" w:cs="Times New Roman"/>
          <w:kern w:val="0"/>
          <w:sz w:val="32"/>
          <w:szCs w:val="32"/>
        </w:rPr>
        <w:t>将没收履约保证金</w:t>
      </w:r>
      <w:r>
        <w:rPr>
          <w:rFonts w:ascii="Times New Roman" w:hAnsi="Times New Roman" w:eastAsia="仿宋_GB2312" w:cs="Times New Roman"/>
          <w:kern w:val="0"/>
          <w:sz w:val="32"/>
          <w:szCs w:val="32"/>
        </w:rPr>
        <w:t>。</w:t>
      </w:r>
    </w:p>
    <w:p w14:paraId="670E8012">
      <w:pPr>
        <w:numPr>
          <w:ilvl w:val="0"/>
          <w:numId w:val="0"/>
        </w:numPr>
        <w:autoSpaceDE w:val="0"/>
        <w:autoSpaceDN w:val="0"/>
        <w:adjustRightInd w:val="0"/>
        <w:spacing w:line="530" w:lineRule="exact"/>
        <w:ind w:firstLine="640"/>
        <w:jc w:val="left"/>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2、中标供应商不履行或不能履行合同，应向采购人赔偿由此造成的全部损失并承担合同总额30%的违约金。</w:t>
      </w:r>
    </w:p>
    <w:p w14:paraId="44C2088C">
      <w:pPr>
        <w:pStyle w:val="3"/>
        <w:keepNext w:val="0"/>
        <w:keepLines w:val="0"/>
        <w:pageBreakBefore w:val="0"/>
        <w:widowControl w:val="0"/>
        <w:kinsoku/>
        <w:wordWrap/>
        <w:overflowPunct/>
        <w:topLinePunct w:val="0"/>
        <w:bidi w:val="0"/>
        <w:snapToGrid/>
        <w:spacing w:line="440" w:lineRule="exact"/>
        <w:ind w:firstLine="640"/>
        <w:textAlignment w:val="auto"/>
        <w:rPr>
          <w:rFonts w:hint="eastAsia" w:ascii="仿宋_GB2312" w:hAnsi="仿宋_GB2312" w:eastAsia="仿宋_GB2312" w:cs="仿宋_GB2312"/>
          <w:sz w:val="32"/>
          <w:szCs w:val="32"/>
          <w:highlight w:val="none"/>
          <w:lang w:val="en-US"/>
        </w:rPr>
      </w:pPr>
      <w:r>
        <w:rPr>
          <w:rFonts w:hint="eastAsia" w:ascii="仿宋_GB2312" w:hAnsi="仿宋_GB2312" w:eastAsia="仿宋_GB2312" w:cs="仿宋_GB2312"/>
          <w:sz w:val="32"/>
          <w:szCs w:val="32"/>
          <w:highlight w:val="none"/>
          <w:lang w:val="en-US"/>
        </w:rPr>
        <w:t>3、本项目服务及系统交付使用5日后，采购人可组织对本项目的预验收。</w:t>
      </w:r>
      <w:r>
        <w:rPr>
          <w:rFonts w:hint="eastAsia" w:ascii="Times New Roman" w:hAnsi="Times New Roman" w:eastAsia="仿宋_GB2312" w:cs="Times New Roman"/>
          <w:kern w:val="0"/>
          <w:sz w:val="32"/>
          <w:szCs w:val="32"/>
          <w:lang w:val="en-US" w:eastAsia="zh-CN"/>
        </w:rPr>
        <w:t>中标供应商</w:t>
      </w:r>
      <w:r>
        <w:rPr>
          <w:rFonts w:hint="eastAsia" w:ascii="仿宋_GB2312" w:hAnsi="仿宋_GB2312" w:eastAsia="仿宋_GB2312" w:cs="仿宋_GB2312"/>
          <w:sz w:val="32"/>
          <w:szCs w:val="32"/>
          <w:highlight w:val="none"/>
          <w:lang w:val="en-US"/>
        </w:rPr>
        <w:t>应派专人在验收现场按本项目所约定的服务及系统要求进行逐项演示及说明。如所交付服务或系统预验收不符合本项目要求的，采购人有权拒收；同时</w:t>
      </w:r>
      <w:r>
        <w:rPr>
          <w:rFonts w:hint="eastAsia" w:ascii="Times New Roman" w:hAnsi="Times New Roman" w:eastAsia="仿宋_GB2312" w:cs="Times New Roman"/>
          <w:kern w:val="0"/>
          <w:sz w:val="32"/>
          <w:szCs w:val="32"/>
          <w:lang w:val="en-US" w:eastAsia="zh-CN"/>
        </w:rPr>
        <w:t>中标供应商</w:t>
      </w:r>
      <w:r>
        <w:rPr>
          <w:rFonts w:hint="eastAsia" w:ascii="仿宋_GB2312" w:hAnsi="仿宋_GB2312" w:eastAsia="仿宋_GB2312" w:cs="仿宋_GB2312"/>
          <w:sz w:val="32"/>
          <w:szCs w:val="32"/>
          <w:highlight w:val="none"/>
          <w:lang w:val="en-US"/>
        </w:rPr>
        <w:t>应向采购人赔偿本项目合同款30%的违约金，采购人有权终止履行已签约的本项目合同。</w:t>
      </w:r>
    </w:p>
    <w:p w14:paraId="57C0C5F5">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Times New Roman" w:hAnsi="Times New Roman" w:eastAsia="仿宋_GB2312" w:cs="Times New Roman"/>
          <w:kern w:val="0"/>
          <w:sz w:val="32"/>
          <w:szCs w:val="32"/>
          <w:lang w:val="en-US" w:eastAsia="zh-CN"/>
        </w:rPr>
        <w:t>4</w:t>
      </w:r>
      <w:r>
        <w:rPr>
          <w:rFonts w:hint="eastAsia" w:ascii="仿宋_GB2312" w:hAnsi="仿宋_GB2312" w:eastAsia="仿宋_GB2312" w:cs="仿宋_GB2312"/>
          <w:sz w:val="32"/>
          <w:szCs w:val="32"/>
          <w:lang w:val="en-US" w:eastAsia="zh-CN"/>
        </w:rPr>
        <w:t>、供应商应遵照本次招标要求和自身的服务承诺，按合同的要求开展工作，并接受采购人的监督和考核。对供应商出现工作质量问题、工作超时、违反程序和泄密等违约行为的，采购人有权对违约供应商进行警告、追讨违约金、解除委托等，并对其所造成的经济损失和法律纠纷依法追究经济和法律责任。</w:t>
      </w:r>
    </w:p>
    <w:p w14:paraId="07C1C4B7">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实行廉政建设一票否决制。委托服务期间，采购人若发现供应商有弄虚作假、玩忽职守、徇私舞弊等违规违纪现象，违反诚实信用和投标承诺等，以谋取非法利益或损害政府利益的，一经采购人查实，采购人有权对违约供应商进行警告、追讨违约金、解除委托等，并对其所造成的经济损失和法律纠纷依法追究经济和法律责任。</w:t>
      </w:r>
    </w:p>
    <w:p w14:paraId="2EEA63D6">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供应商必须独立完成采购人委托的工作任务，不得将工作业务转让给第三方实施。采购人若发现供应商将采购人委托的工作业务转让给第三方实施的，一经采购人查实，采购人有权对违约供应商进行警告、追讨违约金、解除委托等，并对其所造成的经济损失和法律纠纷依法追究经济和法律责任。</w:t>
      </w:r>
    </w:p>
    <w:p w14:paraId="111500C2">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黑体" w:hAnsi="宋体" w:eastAsia="黑体" w:cs="仿宋"/>
          <w:color w:val="000000"/>
          <w:kern w:val="0"/>
          <w:sz w:val="32"/>
          <w:szCs w:val="32"/>
        </w:rPr>
      </w:pPr>
      <w:r>
        <w:rPr>
          <w:rFonts w:hint="eastAsia" w:ascii="黑体" w:hAnsi="宋体" w:eastAsia="黑体" w:cs="黑体"/>
          <w:color w:val="000000"/>
          <w:kern w:val="0"/>
          <w:sz w:val="32"/>
          <w:szCs w:val="32"/>
        </w:rPr>
        <w:t>四、服务期限和地点</w:t>
      </w:r>
    </w:p>
    <w:p w14:paraId="26522F08">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1、服务期：服务期贰年，自合同签订之日起至服务期结束。</w:t>
      </w:r>
    </w:p>
    <w:p w14:paraId="1AD552BA">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2、服务地点：泉州幼儿师范高等专科学校</w:t>
      </w:r>
    </w:p>
    <w:p w14:paraId="18B6A116">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Theme="minorEastAsia" w:hAnsiTheme="minorEastAsia" w:cstheme="minorEastAsia"/>
          <w:color w:val="000000" w:themeColor="text1"/>
          <w:kern w:val="0"/>
          <w:sz w:val="28"/>
          <w:szCs w:val="28"/>
          <w14:textFill>
            <w14:solidFill>
              <w14:schemeClr w14:val="tx1"/>
            </w14:solidFill>
          </w14:textFill>
        </w:rPr>
      </w:pPr>
      <w:r>
        <w:rPr>
          <w:rFonts w:hint="eastAsia" w:ascii="黑体" w:hAnsi="宋体" w:eastAsia="黑体" w:cs="黑体"/>
          <w:color w:val="000000"/>
          <w:kern w:val="0"/>
          <w:sz w:val="32"/>
          <w:szCs w:val="32"/>
        </w:rPr>
        <w:t>五、其他要求</w:t>
      </w:r>
    </w:p>
    <w:p w14:paraId="43C62D1B">
      <w:pPr>
        <w:pStyle w:val="3"/>
        <w:keepNext w:val="0"/>
        <w:keepLines w:val="0"/>
        <w:pageBreakBefore w:val="0"/>
        <w:widowControl w:val="0"/>
        <w:kinsoku/>
        <w:wordWrap/>
        <w:overflowPunct/>
        <w:topLinePunct w:val="0"/>
        <w:bidi w:val="0"/>
        <w:snapToGrid/>
        <w:spacing w:line="440" w:lineRule="exact"/>
        <w:ind w:firstLine="640"/>
        <w:textAlignment w:val="auto"/>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1、供应商</w:t>
      </w:r>
      <w:r>
        <w:rPr>
          <w:rFonts w:hint="eastAsia" w:ascii="仿宋_GB2312" w:hAnsi="仿宋_GB2312" w:eastAsia="仿宋_GB2312" w:cs="仿宋_GB2312"/>
          <w:sz w:val="32"/>
          <w:szCs w:val="32"/>
          <w:highlight w:val="none"/>
          <w:lang w:val="en-US"/>
        </w:rPr>
        <w:t>须承诺提供</w:t>
      </w:r>
      <w:r>
        <w:rPr>
          <w:rFonts w:hint="eastAsia" w:ascii="仿宋_GB2312" w:hAnsi="仿宋_GB2312" w:eastAsia="仿宋_GB2312" w:cs="仿宋_GB2312"/>
          <w:sz w:val="32"/>
          <w:szCs w:val="32"/>
          <w:lang w:val="en-US"/>
        </w:rPr>
        <w:t>协助</w:t>
      </w:r>
      <w:r>
        <w:rPr>
          <w:rFonts w:hint="eastAsia" w:ascii="仿宋_GB2312" w:hAnsi="仿宋_GB2312" w:eastAsia="仿宋_GB2312" w:cs="仿宋_GB2312"/>
          <w:sz w:val="32"/>
          <w:szCs w:val="32"/>
          <w:lang w:val="en-US" w:eastAsia="zh-CN"/>
        </w:rPr>
        <w:t>互联网信息</w:t>
      </w:r>
      <w:r>
        <w:rPr>
          <w:rFonts w:hint="eastAsia" w:ascii="仿宋_GB2312" w:hAnsi="仿宋_GB2312" w:eastAsia="仿宋_GB2312" w:cs="仿宋_GB2312"/>
          <w:sz w:val="32"/>
          <w:szCs w:val="32"/>
          <w:lang w:val="en-US"/>
        </w:rPr>
        <w:t>培训服务：协助组织开展学校人员</w:t>
      </w:r>
      <w:r>
        <w:rPr>
          <w:rFonts w:hint="eastAsia" w:ascii="仿宋_GB2312" w:hAnsi="仿宋_GB2312" w:eastAsia="仿宋_GB2312" w:cs="仿宋_GB2312"/>
          <w:sz w:val="32"/>
          <w:szCs w:val="32"/>
          <w:lang w:val="en-US" w:eastAsia="zh-CN"/>
        </w:rPr>
        <w:t>互联网信息</w:t>
      </w:r>
      <w:r>
        <w:rPr>
          <w:rFonts w:hint="eastAsia" w:ascii="仿宋_GB2312" w:hAnsi="仿宋_GB2312" w:eastAsia="仿宋_GB2312" w:cs="仿宋_GB2312"/>
          <w:sz w:val="32"/>
          <w:szCs w:val="32"/>
          <w:lang w:val="en-US"/>
        </w:rPr>
        <w:t>培训，提供讲座等形式，并协助制定</w:t>
      </w:r>
      <w:r>
        <w:rPr>
          <w:rFonts w:hint="eastAsia" w:ascii="仿宋_GB2312" w:hAnsi="仿宋_GB2312" w:eastAsia="仿宋_GB2312" w:cs="仿宋_GB2312"/>
          <w:sz w:val="32"/>
          <w:szCs w:val="32"/>
          <w:lang w:val="en-US" w:eastAsia="zh-CN"/>
        </w:rPr>
        <w:t>互联网信息</w:t>
      </w:r>
      <w:r>
        <w:rPr>
          <w:rFonts w:hint="eastAsia" w:ascii="仿宋_GB2312" w:hAnsi="仿宋_GB2312" w:eastAsia="仿宋_GB2312" w:cs="仿宋_GB2312"/>
          <w:sz w:val="32"/>
          <w:szCs w:val="32"/>
          <w:lang w:val="en-US"/>
        </w:rPr>
        <w:t>工作相关的管理机制等。</w:t>
      </w:r>
    </w:p>
    <w:p w14:paraId="3454D711">
      <w:pPr>
        <w:pStyle w:val="3"/>
        <w:keepNext w:val="0"/>
        <w:keepLines w:val="0"/>
        <w:pageBreakBefore w:val="0"/>
        <w:widowControl w:val="0"/>
        <w:kinsoku/>
        <w:wordWrap/>
        <w:overflowPunct/>
        <w:topLinePunct w:val="0"/>
        <w:bidi w:val="0"/>
        <w:snapToGrid/>
        <w:spacing w:line="440" w:lineRule="exact"/>
        <w:ind w:firstLine="640"/>
        <w:textAlignment w:val="auto"/>
        <w:rPr>
          <w:rFonts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rPr>
        <w:t>2、项目实施过程中，供应商必须采取措施对本项目实施过程中的数据、技术文档等资料保密，否则，由于供应商过错导致的上述资料泄密的，供应商必须承担一切责任。项目完成后，双方均有责任对本项目的技术保密承担责任。</w:t>
      </w:r>
    </w:p>
    <w:p w14:paraId="5926E4CE">
      <w:pPr>
        <w:pStyle w:val="3"/>
        <w:keepNext w:val="0"/>
        <w:keepLines w:val="0"/>
        <w:pageBreakBefore w:val="0"/>
        <w:widowControl w:val="0"/>
        <w:kinsoku/>
        <w:wordWrap/>
        <w:overflowPunct/>
        <w:topLinePunct w:val="0"/>
        <w:bidi w:val="0"/>
        <w:snapToGrid/>
        <w:spacing w:line="440" w:lineRule="exact"/>
        <w:ind w:firstLine="64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4、供应商需承诺应急服务响应及售后服务响应时间不超过2小时。应急及售后形式包括不限于电话、微信、现场支持。</w:t>
      </w:r>
    </w:p>
    <w:p w14:paraId="4DCF2C8F">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Times New Roman" w:hAnsi="Times New Roman" w:eastAsia="仿宋_GB2312" w:cs="Times New Roman"/>
          <w:color w:val="000000"/>
          <w:kern w:val="0"/>
          <w:sz w:val="32"/>
          <w:szCs w:val="32"/>
        </w:rPr>
      </w:pPr>
      <w:r>
        <w:rPr>
          <w:rFonts w:hint="eastAsia" w:ascii="黑体" w:hAnsi="宋体" w:eastAsia="黑体" w:cs="黑体"/>
          <w:color w:val="000000"/>
          <w:kern w:val="0"/>
          <w:sz w:val="32"/>
          <w:szCs w:val="32"/>
        </w:rPr>
        <w:t>六、付款及结算方式要求</w:t>
      </w:r>
    </w:p>
    <w:p w14:paraId="00DADF02">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供应商完成所有工作并最终验收通过，供应商提供全额的正式发票</w:t>
      </w:r>
      <w:r>
        <w:rPr>
          <w:rFonts w:hint="eastAsia" w:ascii="仿宋_GB2312" w:hAnsi="Times New Roman" w:eastAsia="仿宋_GB2312" w:cs="仿宋_GB2312"/>
          <w:kern w:val="0"/>
          <w:sz w:val="32"/>
          <w:szCs w:val="32"/>
          <w:lang w:bidi="ar"/>
        </w:rPr>
        <w:t>（含税）</w:t>
      </w:r>
      <w:r>
        <w:rPr>
          <w:rFonts w:hint="eastAsia" w:ascii="仿宋_GB2312" w:hAnsi="仿宋_GB2312" w:eastAsia="仿宋_GB2312" w:cs="仿宋_GB2312"/>
          <w:sz w:val="32"/>
          <w:szCs w:val="32"/>
          <w:lang w:val="en-US" w:eastAsia="zh-CN"/>
        </w:rPr>
        <w:t>，学校在收到发票三十日内支付合同总金额。</w:t>
      </w:r>
    </w:p>
    <w:p w14:paraId="69C483C9">
      <w:pPr>
        <w:keepNext w:val="0"/>
        <w:keepLines w:val="0"/>
        <w:pageBreakBefore w:val="0"/>
        <w:widowControl w:val="0"/>
        <w:kinsoku/>
        <w:wordWrap/>
        <w:overflowPunct/>
        <w:topLinePunct w:val="0"/>
        <w:autoSpaceDE w:val="0"/>
        <w:autoSpaceDN w:val="0"/>
        <w:bidi w:val="0"/>
        <w:adjustRightInd w:val="0"/>
        <w:snapToGrid/>
        <w:spacing w:line="440" w:lineRule="exact"/>
        <w:ind w:firstLine="640" w:firstLineChars="200"/>
        <w:jc w:val="left"/>
        <w:textAlignment w:val="auto"/>
        <w:rPr>
          <w:rFonts w:ascii="黑体" w:hAnsi="宋体" w:eastAsia="黑体" w:cs="仿宋"/>
          <w:color w:val="000000"/>
          <w:kern w:val="0"/>
          <w:sz w:val="32"/>
          <w:szCs w:val="32"/>
        </w:rPr>
      </w:pPr>
      <w:r>
        <w:rPr>
          <w:rFonts w:hint="eastAsia" w:ascii="黑体" w:hAnsi="宋体" w:eastAsia="黑体" w:cs="黑体"/>
          <w:color w:val="000000"/>
          <w:kern w:val="0"/>
          <w:sz w:val="32"/>
          <w:szCs w:val="32"/>
        </w:rPr>
        <w:t>七、履约保证金</w:t>
      </w:r>
    </w:p>
    <w:p w14:paraId="50B434CC">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中标金额的2%，项目验收合格后予以退还。</w:t>
      </w:r>
    </w:p>
    <w:p w14:paraId="26C6A854">
      <w:pPr>
        <w:keepNext w:val="0"/>
        <w:keepLines w:val="0"/>
        <w:pageBreakBefore w:val="0"/>
        <w:widowControl w:val="0"/>
        <w:kinsoku/>
        <w:wordWrap/>
        <w:overflowPunct/>
        <w:topLinePunct w:val="0"/>
        <w:bidi w:val="0"/>
        <w:snapToGrid/>
        <w:spacing w:line="4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说明：</w:t>
      </w:r>
      <w:r>
        <w:rPr>
          <w:rFonts w:hint="eastAsia" w:ascii="Times New Roman" w:hAnsi="Times New Roman" w:eastAsia="仿宋_GB2312" w:cs="Times New Roman"/>
          <w:kern w:val="0"/>
          <w:sz w:val="32"/>
          <w:szCs w:val="32"/>
          <w:lang w:val="en-US" w:eastAsia="zh-CN"/>
        </w:rPr>
        <w:t>中标供应商</w:t>
      </w:r>
      <w:r>
        <w:rPr>
          <w:rFonts w:hint="eastAsia" w:ascii="仿宋_GB2312" w:hAnsi="仿宋_GB2312" w:eastAsia="仿宋_GB2312" w:cs="仿宋_GB2312"/>
          <w:sz w:val="32"/>
          <w:szCs w:val="32"/>
          <w:lang w:val="en-US" w:eastAsia="zh-CN"/>
        </w:rPr>
        <w:t>在签订合同3天前，以对公转账或其他法定形式向采购人缴纳履约保证金。</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307118"/>
    <w:multiLevelType w:val="singleLevel"/>
    <w:tmpl w:val="47307118"/>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FhMzU1MDVkZmNiYmQ1NTFlZjJhZDQ5ZDY3ODIxMmMifQ=="/>
  </w:docVars>
  <w:rsids>
    <w:rsidRoot w:val="00946DC9"/>
    <w:rsid w:val="00396C02"/>
    <w:rsid w:val="005E4846"/>
    <w:rsid w:val="00770615"/>
    <w:rsid w:val="00946DC9"/>
    <w:rsid w:val="012274A4"/>
    <w:rsid w:val="070E6657"/>
    <w:rsid w:val="0C3B1C9C"/>
    <w:rsid w:val="0C923886"/>
    <w:rsid w:val="0FD71B2F"/>
    <w:rsid w:val="172B7C37"/>
    <w:rsid w:val="1937518F"/>
    <w:rsid w:val="1BE539D2"/>
    <w:rsid w:val="2B30453E"/>
    <w:rsid w:val="2C2169A0"/>
    <w:rsid w:val="2CF25F4F"/>
    <w:rsid w:val="2DAA685F"/>
    <w:rsid w:val="36CE1052"/>
    <w:rsid w:val="39AC1BBC"/>
    <w:rsid w:val="3C220A4E"/>
    <w:rsid w:val="3F76656C"/>
    <w:rsid w:val="4476700E"/>
    <w:rsid w:val="4812704D"/>
    <w:rsid w:val="4C1F2E8F"/>
    <w:rsid w:val="524658B0"/>
    <w:rsid w:val="528F19C6"/>
    <w:rsid w:val="582A045A"/>
    <w:rsid w:val="59535F18"/>
    <w:rsid w:val="5BC16969"/>
    <w:rsid w:val="5C6A4772"/>
    <w:rsid w:val="611A0FF5"/>
    <w:rsid w:val="6F7F6B7E"/>
    <w:rsid w:val="78C72CBC"/>
    <w:rsid w:val="78DF33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Body Text"/>
    <w:basedOn w:val="1"/>
    <w:link w:val="8"/>
    <w:unhideWhenUsed/>
    <w:qFormat/>
    <w:uiPriority w:val="99"/>
    <w:pPr>
      <w:spacing w:line="360" w:lineRule="auto"/>
      <w:ind w:firstLine="400" w:firstLineChars="200"/>
    </w:pPr>
    <w:rPr>
      <w:rFonts w:ascii="宋体" w:hAnsi="宋体" w:eastAsia="宋体" w:cs="宋体"/>
      <w:sz w:val="28"/>
      <w:szCs w:val="28"/>
      <w:lang w:val="zh-CN" w:bidi="zh-CN"/>
    </w:rPr>
  </w:style>
  <w:style w:type="paragraph" w:styleId="4">
    <w:name w:val="Balloon Text"/>
    <w:basedOn w:val="1"/>
    <w:link w:val="9"/>
    <w:unhideWhenUsed/>
    <w:qFormat/>
    <w:uiPriority w:val="99"/>
    <w:rPr>
      <w:sz w:val="18"/>
      <w:szCs w:val="18"/>
    </w:rPr>
  </w:style>
  <w:style w:type="table" w:styleId="6">
    <w:name w:val="Table Grid"/>
    <w:basedOn w:val="5"/>
    <w:qFormat/>
    <w:uiPriority w:val="39"/>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正文文本 Char"/>
    <w:basedOn w:val="7"/>
    <w:link w:val="3"/>
    <w:qFormat/>
    <w:uiPriority w:val="99"/>
    <w:rPr>
      <w:rFonts w:ascii="宋体" w:hAnsi="宋体" w:eastAsia="宋体" w:cs="宋体"/>
      <w:sz w:val="28"/>
      <w:szCs w:val="28"/>
      <w:lang w:val="zh-CN" w:bidi="zh-CN"/>
    </w:rPr>
  </w:style>
  <w:style w:type="character" w:customStyle="1" w:styleId="9">
    <w:name w:val="批注框文本 Char"/>
    <w:basedOn w:val="7"/>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3099</Words>
  <Characters>3123</Characters>
  <Lines>51</Lines>
  <Paragraphs>14</Paragraphs>
  <TotalTime>12</TotalTime>
  <ScaleCrop>false</ScaleCrop>
  <LinksUpToDate>false</LinksUpToDate>
  <CharactersWithSpaces>3124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2023-07-04T04:34:00Z</dcterms:created>
  <dc:creator>lenovo</dc:creator>
  <cp:lastModifiedBy>Administrator</cp:lastModifiedBy>
  <dcterms:modified xsi:type="dcterms:W3CDTF">2024-11-15T02:28:15Z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BBF784F1C85A4DEBB76AAB74C4B3A9B8_13</vt:lpwstr>
  </property>
</Properties>
</file>