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28A2" w:rsidRDefault="0039365E" w:rsidP="005F597F">
      <w:pPr>
        <w:ind w:firstLineChars="200" w:firstLine="800"/>
        <w:jc w:val="center"/>
        <w:rPr>
          <w:rFonts w:ascii="方正小标宋简体" w:eastAsia="方正小标宋简体" w:hAnsi="方正小标宋简体" w:cs="方正小标宋简体"/>
          <w:sz w:val="40"/>
          <w:szCs w:val="40"/>
        </w:rPr>
      </w:pPr>
      <w:bookmarkStart w:id="0" w:name="_GoBack"/>
      <w:r>
        <w:rPr>
          <w:rFonts w:ascii="方正小标宋简体" w:eastAsia="方正小标宋简体" w:hAnsi="方正小标宋简体" w:cs="方正小标宋简体" w:hint="eastAsia"/>
          <w:sz w:val="40"/>
          <w:szCs w:val="40"/>
        </w:rPr>
        <w:t>教育部社科司关于</w:t>
      </w:r>
      <w:r>
        <w:rPr>
          <w:rFonts w:ascii="方正小标宋简体" w:eastAsia="方正小标宋简体" w:hAnsi="方正小标宋简体" w:cs="方正小标宋简体" w:hint="eastAsia"/>
          <w:sz w:val="40"/>
          <w:szCs w:val="40"/>
        </w:rPr>
        <w:t>2023</w:t>
      </w:r>
      <w:r>
        <w:rPr>
          <w:rFonts w:ascii="方正小标宋简体" w:eastAsia="方正小标宋简体" w:hAnsi="方正小标宋简体" w:cs="方正小标宋简体" w:hint="eastAsia"/>
          <w:sz w:val="40"/>
          <w:szCs w:val="40"/>
        </w:rPr>
        <w:t>年度教育部人文社会科学研究一般项目申报工作的通知</w:t>
      </w:r>
    </w:p>
    <w:bookmarkEnd w:id="0"/>
    <w:p w:rsidR="009A28A2" w:rsidRDefault="009A28A2" w:rsidP="005F597F">
      <w:pPr>
        <w:ind w:firstLineChars="200" w:firstLine="640"/>
        <w:rPr>
          <w:rFonts w:ascii="仿宋_GB2312" w:eastAsia="仿宋_GB2312" w:hAnsi="仿宋_GB2312" w:cs="仿宋_GB2312"/>
          <w:sz w:val="32"/>
          <w:szCs w:val="32"/>
        </w:rPr>
      </w:pPr>
    </w:p>
    <w:p w:rsidR="009A28A2" w:rsidRDefault="0039365E" w:rsidP="005F597F">
      <w:pPr>
        <w:rPr>
          <w:rFonts w:ascii="仿宋_GB2312" w:eastAsia="仿宋_GB2312" w:hAnsi="仿宋_GB2312" w:cs="仿宋_GB2312"/>
          <w:sz w:val="32"/>
          <w:szCs w:val="32"/>
        </w:rPr>
      </w:pPr>
      <w:r>
        <w:rPr>
          <w:rFonts w:ascii="仿宋_GB2312" w:eastAsia="仿宋_GB2312" w:hAnsi="仿宋_GB2312" w:cs="仿宋_GB2312" w:hint="eastAsia"/>
          <w:sz w:val="32"/>
          <w:szCs w:val="32"/>
        </w:rPr>
        <w:t>各省、自治区、直辖市教育厅（教委），新疆生产建设兵团教育局，有关部门（单位）教育司（局），部属各高等学校、部省合建各高等学校：</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为深入学习贯彻党的二十大精神，贯彻落实习近平总书记关于教育的重要论述、关于哲学社会科学工作的重要论述，贯彻落实《面向</w:t>
      </w:r>
      <w:r>
        <w:rPr>
          <w:rFonts w:ascii="仿宋_GB2312" w:eastAsia="仿宋_GB2312" w:hAnsi="仿宋_GB2312" w:cs="仿宋_GB2312" w:hint="eastAsia"/>
          <w:sz w:val="32"/>
          <w:szCs w:val="32"/>
        </w:rPr>
        <w:t>2035</w:t>
      </w:r>
      <w:r>
        <w:rPr>
          <w:rFonts w:ascii="仿宋_GB2312" w:eastAsia="仿宋_GB2312" w:hAnsi="仿宋_GB2312" w:cs="仿宋_GB2312" w:hint="eastAsia"/>
          <w:sz w:val="32"/>
          <w:szCs w:val="32"/>
        </w:rPr>
        <w:t>高校哲学社会科学高质量发展行动计划》《哲学社会科学知识体系建构和高校咨政服务能力提升工程实施方案》，根据《教育部人文社会科学研究项目管理办法》（教社科〔</w:t>
      </w:r>
      <w:r>
        <w:rPr>
          <w:rFonts w:ascii="仿宋_GB2312" w:eastAsia="仿宋_GB2312" w:hAnsi="仿宋_GB2312" w:cs="仿宋_GB2312" w:hint="eastAsia"/>
          <w:sz w:val="32"/>
          <w:szCs w:val="32"/>
        </w:rPr>
        <w:t>2006</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号），现将</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年度教育部人文社会科学研究一般项目（以下简称项目）申报工作有关事项通知如下。</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一、申报内容</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本次项目申报不设申报指南（专项任务项目除外），申请人根据自身的研究基础和学术特长，坚持正确政治方向、价</w:t>
      </w:r>
      <w:r>
        <w:rPr>
          <w:rFonts w:ascii="仿宋_GB2312" w:eastAsia="仿宋_GB2312" w:hAnsi="仿宋_GB2312" w:cs="仿宋_GB2312" w:hint="eastAsia"/>
          <w:sz w:val="32"/>
          <w:szCs w:val="32"/>
        </w:rPr>
        <w:t>值取向、研究导向，认真凝练、自行拟定研究课题。研究课题名称应表述规范、准确、简洁。</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项目类别及资助额度</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项目研究期限为</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年，具体类别分为：（</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）规划基金</w:t>
      </w:r>
      <w:r>
        <w:rPr>
          <w:rFonts w:ascii="仿宋_GB2312" w:eastAsia="仿宋_GB2312" w:hAnsi="仿宋_GB2312" w:cs="仿宋_GB2312" w:hint="eastAsia"/>
          <w:sz w:val="32"/>
          <w:szCs w:val="32"/>
        </w:rPr>
        <w:lastRenderedPageBreak/>
        <w:t>项目，资助经费不超过</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）青年基金项目，资助经费不超过</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）自筹经费项目，经费由申请人从校外有关部门或企事业单位自筹，自筹经费不低于</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）专项任务项目，包括中国特色社会主义理论体系研究专项、高校辅导员研究专项，具体申报通知将另行发布。</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为支持西部和边疆地区高校人文社会科学研究发展，本次继续设立西部和边疆地区项目、新疆</w:t>
      </w:r>
      <w:r>
        <w:rPr>
          <w:rFonts w:ascii="仿宋_GB2312" w:eastAsia="仿宋_GB2312" w:hAnsi="仿宋_GB2312" w:cs="仿宋_GB2312" w:hint="eastAsia"/>
          <w:sz w:val="32"/>
          <w:szCs w:val="32"/>
        </w:rPr>
        <w:t>项目、西藏项目。</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项目申报学科范围</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根据原国家质量技术监督局</w:t>
      </w:r>
      <w:r>
        <w:rPr>
          <w:rFonts w:ascii="仿宋_GB2312" w:eastAsia="仿宋_GB2312" w:hAnsi="仿宋_GB2312" w:cs="仿宋_GB2312" w:hint="eastAsia"/>
          <w:sz w:val="32"/>
          <w:szCs w:val="32"/>
        </w:rPr>
        <w:t>2009</w:t>
      </w:r>
      <w:r>
        <w:rPr>
          <w:rFonts w:ascii="仿宋_GB2312" w:eastAsia="仿宋_GB2312" w:hAnsi="仿宋_GB2312" w:cs="仿宋_GB2312" w:hint="eastAsia"/>
          <w:sz w:val="32"/>
          <w:szCs w:val="32"/>
        </w:rPr>
        <w:t>年公布的《学科分类与代码》和高校的实际情况，本次项目申报的学科范围包括：（</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）马克思主义</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思想政治教育；（</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）哲学；（</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）逻辑学；（</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）宗教学；（</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）语言学；（</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）中国文学；（</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）外国文学；（</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）艺术学；（</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）历史学；（</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）考古学；（</w:t>
      </w:r>
      <w:r>
        <w:rPr>
          <w:rFonts w:ascii="仿宋_GB2312" w:eastAsia="仿宋_GB2312" w:hAnsi="仿宋_GB2312" w:cs="仿宋_GB2312" w:hint="eastAsia"/>
          <w:sz w:val="32"/>
          <w:szCs w:val="32"/>
        </w:rPr>
        <w:t>11</w:t>
      </w:r>
      <w:r>
        <w:rPr>
          <w:rFonts w:ascii="仿宋_GB2312" w:eastAsia="仿宋_GB2312" w:hAnsi="仿宋_GB2312" w:cs="仿宋_GB2312" w:hint="eastAsia"/>
          <w:sz w:val="32"/>
          <w:szCs w:val="32"/>
        </w:rPr>
        <w:t>）经济学；（</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）管理学；（</w:t>
      </w:r>
      <w:r>
        <w:rPr>
          <w:rFonts w:ascii="仿宋_GB2312" w:eastAsia="仿宋_GB2312" w:hAnsi="仿宋_GB2312" w:cs="仿宋_GB2312" w:hint="eastAsia"/>
          <w:sz w:val="32"/>
          <w:szCs w:val="32"/>
        </w:rPr>
        <w:t>13</w:t>
      </w:r>
      <w:r>
        <w:rPr>
          <w:rFonts w:ascii="仿宋_GB2312" w:eastAsia="仿宋_GB2312" w:hAnsi="仿宋_GB2312" w:cs="仿宋_GB2312" w:hint="eastAsia"/>
          <w:sz w:val="32"/>
          <w:szCs w:val="32"/>
        </w:rPr>
        <w:t>）政治学；（</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）法学；（</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）社会学；（</w:t>
      </w:r>
      <w:r>
        <w:rPr>
          <w:rFonts w:ascii="仿宋_GB2312" w:eastAsia="仿宋_GB2312" w:hAnsi="仿宋_GB2312" w:cs="仿宋_GB2312" w:hint="eastAsia"/>
          <w:sz w:val="32"/>
          <w:szCs w:val="32"/>
        </w:rPr>
        <w:t>16</w:t>
      </w:r>
      <w:r>
        <w:rPr>
          <w:rFonts w:ascii="仿宋_GB2312" w:eastAsia="仿宋_GB2312" w:hAnsi="仿宋_GB2312" w:cs="仿宋_GB2312" w:hint="eastAsia"/>
          <w:sz w:val="32"/>
          <w:szCs w:val="32"/>
        </w:rPr>
        <w:t>）民族学与文化学；（</w:t>
      </w:r>
      <w:r>
        <w:rPr>
          <w:rFonts w:ascii="仿宋_GB2312" w:eastAsia="仿宋_GB2312" w:hAnsi="仿宋_GB2312" w:cs="仿宋_GB2312" w:hint="eastAsia"/>
          <w:sz w:val="32"/>
          <w:szCs w:val="32"/>
        </w:rPr>
        <w:t>17</w:t>
      </w:r>
      <w:r>
        <w:rPr>
          <w:rFonts w:ascii="仿宋_GB2312" w:eastAsia="仿宋_GB2312" w:hAnsi="仿宋_GB2312" w:cs="仿宋_GB2312" w:hint="eastAsia"/>
          <w:sz w:val="32"/>
          <w:szCs w:val="32"/>
        </w:rPr>
        <w:t>）新闻学与传播学；（</w:t>
      </w:r>
      <w:r>
        <w:rPr>
          <w:rFonts w:ascii="仿宋_GB2312" w:eastAsia="仿宋_GB2312" w:hAnsi="仿宋_GB2312" w:cs="仿宋_GB2312" w:hint="eastAsia"/>
          <w:sz w:val="32"/>
          <w:szCs w:val="32"/>
        </w:rPr>
        <w:t>18</w:t>
      </w:r>
      <w:r>
        <w:rPr>
          <w:rFonts w:ascii="仿宋_GB2312" w:eastAsia="仿宋_GB2312" w:hAnsi="仿宋_GB2312" w:cs="仿宋_GB2312" w:hint="eastAsia"/>
          <w:sz w:val="32"/>
          <w:szCs w:val="32"/>
        </w:rPr>
        <w:t>）图书馆、情报与文献学；（</w:t>
      </w:r>
      <w:r>
        <w:rPr>
          <w:rFonts w:ascii="仿宋_GB2312" w:eastAsia="仿宋_GB2312" w:hAnsi="仿宋_GB2312" w:cs="仿宋_GB2312" w:hint="eastAsia"/>
          <w:sz w:val="32"/>
          <w:szCs w:val="32"/>
        </w:rPr>
        <w:t>19</w:t>
      </w:r>
      <w:r>
        <w:rPr>
          <w:rFonts w:ascii="仿宋_GB2312" w:eastAsia="仿宋_GB2312" w:hAnsi="仿宋_GB2312" w:cs="仿宋_GB2312" w:hint="eastAsia"/>
          <w:sz w:val="32"/>
          <w:szCs w:val="32"/>
        </w:rPr>
        <w:t>）教育学；（</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）心理学；（</w:t>
      </w:r>
      <w:r>
        <w:rPr>
          <w:rFonts w:ascii="仿宋_GB2312" w:eastAsia="仿宋_GB2312" w:hAnsi="仿宋_GB2312" w:cs="仿宋_GB2312" w:hint="eastAsia"/>
          <w:sz w:val="32"/>
          <w:szCs w:val="32"/>
        </w:rPr>
        <w:t>21</w:t>
      </w:r>
      <w:r>
        <w:rPr>
          <w:rFonts w:ascii="仿宋_GB2312" w:eastAsia="仿宋_GB2312" w:hAnsi="仿宋_GB2312" w:cs="仿宋_GB2312" w:hint="eastAsia"/>
          <w:sz w:val="32"/>
          <w:szCs w:val="32"/>
        </w:rPr>
        <w:t>）体</w:t>
      </w:r>
      <w:r>
        <w:rPr>
          <w:rFonts w:ascii="仿宋_GB2312" w:eastAsia="仿宋_GB2312" w:hAnsi="仿宋_GB2312" w:cs="仿宋_GB2312" w:hint="eastAsia"/>
          <w:sz w:val="32"/>
          <w:szCs w:val="32"/>
        </w:rPr>
        <w:t>育学；（</w:t>
      </w:r>
      <w:r>
        <w:rPr>
          <w:rFonts w:ascii="仿宋_GB2312" w:eastAsia="仿宋_GB2312" w:hAnsi="仿宋_GB2312" w:cs="仿宋_GB2312" w:hint="eastAsia"/>
          <w:sz w:val="32"/>
          <w:szCs w:val="32"/>
        </w:rPr>
        <w:t>22</w:t>
      </w:r>
      <w:r>
        <w:rPr>
          <w:rFonts w:ascii="仿宋_GB2312" w:eastAsia="仿宋_GB2312" w:hAnsi="仿宋_GB2312" w:cs="仿宋_GB2312" w:hint="eastAsia"/>
          <w:sz w:val="32"/>
          <w:szCs w:val="32"/>
        </w:rPr>
        <w:t>）统计学；（</w:t>
      </w:r>
      <w:r>
        <w:rPr>
          <w:rFonts w:ascii="仿宋_GB2312" w:eastAsia="仿宋_GB2312" w:hAnsi="仿宋_GB2312" w:cs="仿宋_GB2312" w:hint="eastAsia"/>
          <w:sz w:val="32"/>
          <w:szCs w:val="32"/>
        </w:rPr>
        <w:t>23</w:t>
      </w:r>
      <w:r>
        <w:rPr>
          <w:rFonts w:ascii="仿宋_GB2312" w:eastAsia="仿宋_GB2312" w:hAnsi="仿宋_GB2312" w:cs="仿宋_GB2312" w:hint="eastAsia"/>
          <w:sz w:val="32"/>
          <w:szCs w:val="32"/>
        </w:rPr>
        <w:t>）港澳台问题研究；（</w:t>
      </w:r>
      <w:r>
        <w:rPr>
          <w:rFonts w:ascii="仿宋_GB2312" w:eastAsia="仿宋_GB2312" w:hAnsi="仿宋_GB2312" w:cs="仿宋_GB2312" w:hint="eastAsia"/>
          <w:sz w:val="32"/>
          <w:szCs w:val="32"/>
        </w:rPr>
        <w:t>24</w:t>
      </w:r>
      <w:r>
        <w:rPr>
          <w:rFonts w:ascii="仿宋_GB2312" w:eastAsia="仿宋_GB2312" w:hAnsi="仿宋_GB2312" w:cs="仿宋_GB2312" w:hint="eastAsia"/>
          <w:sz w:val="32"/>
          <w:szCs w:val="32"/>
        </w:rPr>
        <w:t>）国际问题研究；（</w:t>
      </w:r>
      <w:r>
        <w:rPr>
          <w:rFonts w:ascii="仿宋_GB2312" w:eastAsia="仿宋_GB2312" w:hAnsi="仿宋_GB2312" w:cs="仿宋_GB2312" w:hint="eastAsia"/>
          <w:sz w:val="32"/>
          <w:szCs w:val="32"/>
        </w:rPr>
        <w:t>25</w:t>
      </w:r>
      <w:r>
        <w:rPr>
          <w:rFonts w:ascii="仿宋_GB2312" w:eastAsia="仿宋_GB2312" w:hAnsi="仿宋_GB2312" w:cs="仿宋_GB2312" w:hint="eastAsia"/>
          <w:sz w:val="32"/>
          <w:szCs w:val="32"/>
        </w:rPr>
        <w:t>）交叉学科</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综合研究。</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二、申报条件</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本次项目限全国普通高等学校申报。</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申请人须为在编在岗教师，能够实际承担、组织研究工作；每个申请人限报</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项，所列课题组成员必须征得其本</w:t>
      </w:r>
      <w:r>
        <w:rPr>
          <w:rFonts w:ascii="仿宋_GB2312" w:eastAsia="仿宋_GB2312" w:hAnsi="仿宋_GB2312" w:cs="仿宋_GB2312" w:hint="eastAsia"/>
          <w:sz w:val="32"/>
          <w:szCs w:val="32"/>
        </w:rPr>
        <w:lastRenderedPageBreak/>
        <w:t>人同意，否则视为违规申报。</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申请人除符合《教育部人文社会科学研究项目管理办法》的相关规定外，还必须符合下列条件：</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）规划基金项目申请人应具有高级职称（含副高）；</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）青年基金项目申请人应具有博士学位或中级以上（含中级）职称，年</w:t>
      </w:r>
      <w:r>
        <w:rPr>
          <w:rFonts w:ascii="仿宋_GB2312" w:eastAsia="仿宋_GB2312" w:hAnsi="仿宋_GB2312" w:cs="仿宋_GB2312" w:hint="eastAsia"/>
          <w:sz w:val="32"/>
          <w:szCs w:val="32"/>
        </w:rPr>
        <w:t>龄不超过</w:t>
      </w:r>
      <w:r>
        <w:rPr>
          <w:rFonts w:ascii="仿宋_GB2312" w:eastAsia="仿宋_GB2312" w:hAnsi="仿宋_GB2312" w:cs="仿宋_GB2312" w:hint="eastAsia"/>
          <w:sz w:val="32"/>
          <w:szCs w:val="32"/>
        </w:rPr>
        <w:t>40</w:t>
      </w:r>
      <w:r>
        <w:rPr>
          <w:rFonts w:ascii="仿宋_GB2312" w:eastAsia="仿宋_GB2312" w:hAnsi="仿宋_GB2312" w:cs="仿宋_GB2312" w:hint="eastAsia"/>
          <w:sz w:val="32"/>
          <w:szCs w:val="32"/>
        </w:rPr>
        <w:t>周岁（</w:t>
      </w:r>
      <w:r>
        <w:rPr>
          <w:rFonts w:ascii="仿宋_GB2312" w:eastAsia="仿宋_GB2312" w:hAnsi="仿宋_GB2312" w:cs="仿宋_GB2312" w:hint="eastAsia"/>
          <w:sz w:val="32"/>
          <w:szCs w:val="32"/>
        </w:rPr>
        <w:t>1983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日以后出生）；</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自筹经费项目申请人，须在《教育部人文社会科学研究一般项目申请评审书》（以下简称《申请评审书》）“其他来源经费”栏填写经费，并上传学校财务处提供的委托研究单位经费到账凭证或银行回单等证明材料。</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有以下情况之一者不得申报本次项目：</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）在研的教育部人文社会科学研究各类项目负责人；</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）所主持的教育部人文社会科学研究项目三年内因各种原因被终止者，五年内因各种原因被撤销者；</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）在研的国家社会科学基金各类项目、国家自然科学基金各类</w:t>
      </w:r>
      <w:r>
        <w:rPr>
          <w:rFonts w:ascii="仿宋_GB2312" w:eastAsia="仿宋_GB2312" w:hAnsi="仿宋_GB2312" w:cs="仿宋_GB2312" w:hint="eastAsia"/>
          <w:sz w:val="32"/>
          <w:szCs w:val="32"/>
        </w:rPr>
        <w:t>项目负责人；</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年度国家社会科学基金项目的申请人；</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）连续两年（指</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年度）申请教育部人文社会科学研究一般项目未获资助的申请人。</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三、申报办法</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教育部直属高校、部省合建高校以学校为单位，地方</w:t>
      </w:r>
      <w:r>
        <w:rPr>
          <w:rFonts w:ascii="仿宋_GB2312" w:eastAsia="仿宋_GB2312" w:hAnsi="仿宋_GB2312" w:cs="仿宋_GB2312" w:hint="eastAsia"/>
          <w:sz w:val="32"/>
          <w:szCs w:val="32"/>
        </w:rPr>
        <w:lastRenderedPageBreak/>
        <w:t>高校以省、自治区、直辖市教育厅（教委）为单位，其他有关部门（单位）所属高校以教育司（局）为单位（以下简称申报单位）集中申报，不受理个人申报。</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本次项目采取网上申报方式。教育部社科司主页（</w:t>
      </w:r>
      <w:r>
        <w:rPr>
          <w:rFonts w:ascii="仿宋_GB2312" w:eastAsia="仿宋_GB2312" w:hAnsi="仿宋_GB2312" w:cs="仿宋_GB2312" w:hint="eastAsia"/>
          <w:sz w:val="32"/>
          <w:szCs w:val="32"/>
        </w:rPr>
        <w:t>http://www.moe.gov.cn/s78/A13/</w:t>
      </w:r>
      <w:r>
        <w:rPr>
          <w:rFonts w:ascii="仿宋_GB2312" w:eastAsia="仿宋_GB2312" w:hAnsi="仿宋_GB2312" w:cs="仿宋_GB2312" w:hint="eastAsia"/>
          <w:sz w:val="32"/>
          <w:szCs w:val="32"/>
        </w:rPr>
        <w:t>）教育部人文社会科</w:t>
      </w:r>
      <w:r>
        <w:rPr>
          <w:rFonts w:ascii="仿宋_GB2312" w:eastAsia="仿宋_GB2312" w:hAnsi="仿宋_GB2312" w:cs="仿宋_GB2312" w:hint="eastAsia"/>
          <w:sz w:val="32"/>
          <w:szCs w:val="32"/>
        </w:rPr>
        <w:t>学研究管理平台•申报系统（以下简称申报系统）为本次申报的唯一网络平台，网络申报办法及流程以该系统为准。</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自</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24</w:t>
      </w:r>
      <w:r>
        <w:rPr>
          <w:rFonts w:ascii="仿宋_GB2312" w:eastAsia="仿宋_GB2312" w:hAnsi="仿宋_GB2312" w:cs="仿宋_GB2312" w:hint="eastAsia"/>
          <w:sz w:val="32"/>
          <w:szCs w:val="32"/>
        </w:rPr>
        <w:t>日开始受理项目网上申报。申请人可登录申报系统下载《申请评审书》，按申报系统提示说明和填表要求填写后通过申报系统上传，无需报送纸质申报材料。待立项公布后，已立项项目需提交</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份带有负责人及成员签名、责任单位盖章的纸质版申报材料，由申报单位统一寄送至社科管理咨询服务中心。</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项目经费按照《高等学校哲学社会科学繁荣计划专项资金管理办法》（财教〔</w:t>
      </w:r>
      <w:r>
        <w:rPr>
          <w:rFonts w:ascii="仿宋_GB2312" w:eastAsia="仿宋_GB2312" w:hAnsi="仿宋_GB2312" w:cs="仿宋_GB2312" w:hint="eastAsia"/>
          <w:sz w:val="32"/>
          <w:szCs w:val="32"/>
        </w:rPr>
        <w:t>2021</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285</w:t>
      </w:r>
      <w:r>
        <w:rPr>
          <w:rFonts w:ascii="仿宋_GB2312" w:eastAsia="仿宋_GB2312" w:hAnsi="仿宋_GB2312" w:cs="仿宋_GB2312" w:hint="eastAsia"/>
          <w:sz w:val="32"/>
          <w:szCs w:val="32"/>
        </w:rPr>
        <w:t>号）使用和管理，需按照研究实际需要和资金开支范围，科学合理、实事求是地按年度编制项目预算。</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已开通管理平台账号的申报单位，请登录申报系统核对更新单位信息，重点核实本单位财务拨款账户信息等；未开通账号的申报单位，请登录申报系统，登记单位信息、设定登录密码，打印“开通账号申请表”并加盖单位公章，传真至</w:t>
      </w:r>
      <w:r>
        <w:rPr>
          <w:rFonts w:ascii="仿宋_GB2312" w:eastAsia="仿宋_GB2312" w:hAnsi="仿宋_GB2312" w:cs="仿宋_GB2312" w:hint="eastAsia"/>
          <w:sz w:val="32"/>
          <w:szCs w:val="32"/>
        </w:rPr>
        <w:t>010-58803011</w:t>
      </w:r>
      <w:r>
        <w:rPr>
          <w:rFonts w:ascii="仿宋_GB2312" w:eastAsia="仿宋_GB2312" w:hAnsi="仿宋_GB2312" w:cs="仿宋_GB2312" w:hint="eastAsia"/>
          <w:sz w:val="32"/>
          <w:szCs w:val="32"/>
        </w:rPr>
        <w:t>。待审核通过后，即可登录申报系统进行</w:t>
      </w:r>
      <w:r>
        <w:rPr>
          <w:rFonts w:ascii="仿宋_GB2312" w:eastAsia="仿宋_GB2312" w:hAnsi="仿宋_GB2312" w:cs="仿宋_GB2312" w:hint="eastAsia"/>
          <w:sz w:val="32"/>
          <w:szCs w:val="32"/>
        </w:rPr>
        <w:lastRenderedPageBreak/>
        <w:t>操作。</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本次项目网络申报截止日期为</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28</w:t>
      </w:r>
      <w:r>
        <w:rPr>
          <w:rFonts w:ascii="仿宋_GB2312" w:eastAsia="仿宋_GB2312" w:hAnsi="仿宋_GB2312" w:cs="仿宋_GB2312" w:hint="eastAsia"/>
          <w:sz w:val="32"/>
          <w:szCs w:val="32"/>
        </w:rPr>
        <w:t>日，申报单位须在此之前对本单位所申报的材料进行在线审核确认。</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四、其他要求</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申请人应认真阅研《教育部人文社会科学研究项目管理办法》及以往立项情况，提高申报质量，避免重复申报。</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本次项目评审采取匿名方式。为保证评审的公平公正，《申请评审书》</w:t>
      </w:r>
      <w:r>
        <w:rPr>
          <w:rFonts w:ascii="仿宋_GB2312" w:eastAsia="仿宋_GB2312" w:hAnsi="仿宋_GB2312" w:cs="仿宋_GB2312" w:hint="eastAsia"/>
          <w:sz w:val="32"/>
          <w:szCs w:val="32"/>
        </w:rPr>
        <w:t>B</w:t>
      </w:r>
      <w:r>
        <w:rPr>
          <w:rFonts w:ascii="仿宋_GB2312" w:eastAsia="仿宋_GB2312" w:hAnsi="仿宋_GB2312" w:cs="仿宋_GB2312" w:hint="eastAsia"/>
          <w:sz w:val="32"/>
          <w:szCs w:val="32"/>
        </w:rPr>
        <w:t>表中不得出现申请人姓名、所在学校等有关信息，否则按作废处理。</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申请人应如实填报材料，确保无知识产权争议。凡存在弄虚作假、抄袭剽窃等行为的，一经发现查实，取消三年申报资格，如获立项即予撤项并通报批评。</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各申报单位应切实落实意识形态工</w:t>
      </w:r>
      <w:r>
        <w:rPr>
          <w:rFonts w:ascii="仿宋_GB2312" w:eastAsia="仿宋_GB2312" w:hAnsi="仿宋_GB2312" w:cs="仿宋_GB2312" w:hint="eastAsia"/>
          <w:sz w:val="32"/>
          <w:szCs w:val="32"/>
        </w:rPr>
        <w:t>作责任制，加强对申报材料的审核把关，并确保填报信息准确、真实，切实提高项目申报质量。</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申报系统联系方式：</w:t>
      </w:r>
      <w:r>
        <w:rPr>
          <w:rFonts w:ascii="仿宋_GB2312" w:eastAsia="仿宋_GB2312" w:hAnsi="仿宋_GB2312" w:cs="仿宋_GB2312" w:hint="eastAsia"/>
          <w:sz w:val="32"/>
          <w:szCs w:val="32"/>
        </w:rPr>
        <w:t>010-62510667</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15313766307</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15313766308;</w:t>
      </w:r>
      <w:r>
        <w:rPr>
          <w:rFonts w:ascii="仿宋_GB2312" w:eastAsia="仿宋_GB2312" w:hAnsi="仿宋_GB2312" w:cs="仿宋_GB2312" w:hint="eastAsia"/>
          <w:sz w:val="32"/>
          <w:szCs w:val="32"/>
        </w:rPr>
        <w:t>信箱：</w:t>
      </w:r>
      <w:r>
        <w:rPr>
          <w:rFonts w:ascii="仿宋_GB2312" w:eastAsia="仿宋_GB2312" w:hAnsi="仿宋_GB2312" w:cs="仿宋_GB2312" w:hint="eastAsia"/>
          <w:sz w:val="32"/>
          <w:szCs w:val="32"/>
        </w:rPr>
        <w:t>xmsb@sinoss.net</w:t>
      </w:r>
      <w:r>
        <w:rPr>
          <w:rFonts w:ascii="仿宋_GB2312" w:eastAsia="仿宋_GB2312" w:hAnsi="仿宋_GB2312" w:cs="仿宋_GB2312" w:hint="eastAsia"/>
          <w:sz w:val="32"/>
          <w:szCs w:val="32"/>
        </w:rPr>
        <w:t>。</w:t>
      </w: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社科管理咨询服务中心联系方式：</w:t>
      </w:r>
      <w:r>
        <w:rPr>
          <w:rFonts w:ascii="仿宋_GB2312" w:eastAsia="仿宋_GB2312" w:hAnsi="仿宋_GB2312" w:cs="仿宋_GB2312" w:hint="eastAsia"/>
          <w:sz w:val="32"/>
          <w:szCs w:val="32"/>
        </w:rPr>
        <w:t>010-58805145</w:t>
      </w:r>
      <w:r>
        <w:rPr>
          <w:rFonts w:ascii="仿宋_GB2312" w:eastAsia="仿宋_GB2312" w:hAnsi="仿宋_GB2312" w:cs="仿宋_GB2312" w:hint="eastAsia"/>
          <w:sz w:val="32"/>
          <w:szCs w:val="32"/>
        </w:rPr>
        <w:t>；传真：</w:t>
      </w:r>
      <w:r>
        <w:rPr>
          <w:rFonts w:ascii="仿宋_GB2312" w:eastAsia="仿宋_GB2312" w:hAnsi="仿宋_GB2312" w:cs="仿宋_GB2312" w:hint="eastAsia"/>
          <w:sz w:val="32"/>
          <w:szCs w:val="32"/>
        </w:rPr>
        <w:t>010-58803011</w:t>
      </w:r>
      <w:r>
        <w:rPr>
          <w:rFonts w:ascii="仿宋_GB2312" w:eastAsia="仿宋_GB2312" w:hAnsi="仿宋_GB2312" w:cs="仿宋_GB2312" w:hint="eastAsia"/>
          <w:sz w:val="32"/>
          <w:szCs w:val="32"/>
        </w:rPr>
        <w:t>；电子信箱：</w:t>
      </w:r>
      <w:r>
        <w:rPr>
          <w:rFonts w:ascii="仿宋_GB2312" w:eastAsia="仿宋_GB2312" w:hAnsi="仿宋_GB2312" w:cs="仿宋_GB2312" w:hint="eastAsia"/>
          <w:sz w:val="32"/>
          <w:szCs w:val="32"/>
        </w:rPr>
        <w:t>moesk@bnu.edu.cn</w:t>
      </w:r>
      <w:r>
        <w:rPr>
          <w:rFonts w:ascii="仿宋_GB2312" w:eastAsia="仿宋_GB2312" w:hAnsi="仿宋_GB2312" w:cs="仿宋_GB2312" w:hint="eastAsia"/>
          <w:sz w:val="32"/>
          <w:szCs w:val="32"/>
        </w:rPr>
        <w:t>；地址：北京市海淀区新街口外大街</w:t>
      </w:r>
      <w:r>
        <w:rPr>
          <w:rFonts w:ascii="仿宋_GB2312" w:eastAsia="仿宋_GB2312" w:hAnsi="仿宋_GB2312" w:cs="仿宋_GB2312" w:hint="eastAsia"/>
          <w:sz w:val="32"/>
          <w:szCs w:val="32"/>
        </w:rPr>
        <w:t>19</w:t>
      </w:r>
      <w:r>
        <w:rPr>
          <w:rFonts w:ascii="仿宋_GB2312" w:eastAsia="仿宋_GB2312" w:hAnsi="仿宋_GB2312" w:cs="仿宋_GB2312" w:hint="eastAsia"/>
          <w:sz w:val="32"/>
          <w:szCs w:val="32"/>
        </w:rPr>
        <w:t>号北京师范大学科技楼</w:t>
      </w:r>
      <w:r>
        <w:rPr>
          <w:rFonts w:ascii="仿宋_GB2312" w:eastAsia="仿宋_GB2312" w:hAnsi="仿宋_GB2312" w:cs="仿宋_GB2312" w:hint="eastAsia"/>
          <w:sz w:val="32"/>
          <w:szCs w:val="32"/>
        </w:rPr>
        <w:t>C</w:t>
      </w:r>
      <w:r>
        <w:rPr>
          <w:rFonts w:ascii="仿宋_GB2312" w:eastAsia="仿宋_GB2312" w:hAnsi="仿宋_GB2312" w:cs="仿宋_GB2312" w:hint="eastAsia"/>
          <w:sz w:val="32"/>
          <w:szCs w:val="32"/>
        </w:rPr>
        <w:t>区</w:t>
      </w:r>
      <w:r>
        <w:rPr>
          <w:rFonts w:ascii="仿宋_GB2312" w:eastAsia="仿宋_GB2312" w:hAnsi="仿宋_GB2312" w:cs="仿宋_GB2312" w:hint="eastAsia"/>
          <w:sz w:val="32"/>
          <w:szCs w:val="32"/>
        </w:rPr>
        <w:t>1001</w:t>
      </w:r>
      <w:r>
        <w:rPr>
          <w:rFonts w:ascii="仿宋_GB2312" w:eastAsia="仿宋_GB2312" w:hAnsi="仿宋_GB2312" w:cs="仿宋_GB2312" w:hint="eastAsia"/>
          <w:sz w:val="32"/>
          <w:szCs w:val="32"/>
        </w:rPr>
        <w:t>室，北京师范大学社科管理咨询服务中心，邮编：</w:t>
      </w:r>
      <w:r>
        <w:rPr>
          <w:rFonts w:ascii="仿宋_GB2312" w:eastAsia="仿宋_GB2312" w:hAnsi="仿宋_GB2312" w:cs="仿宋_GB2312" w:hint="eastAsia"/>
          <w:sz w:val="32"/>
          <w:szCs w:val="32"/>
        </w:rPr>
        <w:t>100875</w:t>
      </w:r>
      <w:r>
        <w:rPr>
          <w:rFonts w:ascii="仿宋_GB2312" w:eastAsia="仿宋_GB2312" w:hAnsi="仿宋_GB2312" w:cs="仿宋_GB2312" w:hint="eastAsia"/>
          <w:sz w:val="32"/>
          <w:szCs w:val="32"/>
        </w:rPr>
        <w:t>。</w:t>
      </w:r>
    </w:p>
    <w:p w:rsidR="009A28A2" w:rsidRDefault="009A28A2" w:rsidP="005F597F">
      <w:pPr>
        <w:ind w:firstLineChars="200" w:firstLine="640"/>
        <w:rPr>
          <w:rFonts w:ascii="仿宋_GB2312" w:eastAsia="仿宋_GB2312" w:hAnsi="仿宋_GB2312" w:cs="仿宋_GB2312"/>
          <w:sz w:val="32"/>
          <w:szCs w:val="32"/>
        </w:rPr>
      </w:pPr>
    </w:p>
    <w:p w:rsidR="009A28A2" w:rsidRDefault="0039365E" w:rsidP="005F597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hyperlink r:id="rId7" w:tgtFrame="http://www.moe.gov.cn/s78/A13/tongzhi/202303/_blank" w:history="1">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年度教育部人文社会科学一般项目申报常见问题释疑</w:t>
        </w:r>
      </w:hyperlink>
    </w:p>
    <w:p w:rsidR="009A28A2" w:rsidRDefault="009A28A2" w:rsidP="005F597F">
      <w:pPr>
        <w:ind w:firstLineChars="200" w:firstLine="640"/>
        <w:jc w:val="right"/>
        <w:rPr>
          <w:rFonts w:ascii="仿宋_GB2312" w:eastAsia="仿宋_GB2312" w:hAnsi="仿宋_GB2312" w:cs="仿宋_GB2312"/>
          <w:sz w:val="32"/>
          <w:szCs w:val="32"/>
        </w:rPr>
      </w:pPr>
    </w:p>
    <w:p w:rsidR="009A28A2" w:rsidRDefault="0039365E" w:rsidP="005F597F">
      <w:pPr>
        <w:ind w:firstLineChars="200" w:firstLine="64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教育部社会科学司</w:t>
      </w:r>
    </w:p>
    <w:p w:rsidR="009A28A2" w:rsidRDefault="0039365E" w:rsidP="005F597F">
      <w:pPr>
        <w:ind w:firstLineChars="200" w:firstLine="640"/>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21</w:t>
      </w:r>
      <w:r>
        <w:rPr>
          <w:rFonts w:ascii="仿宋_GB2312" w:eastAsia="仿宋_GB2312" w:hAnsi="仿宋_GB2312" w:cs="仿宋_GB2312" w:hint="eastAsia"/>
          <w:sz w:val="32"/>
          <w:szCs w:val="32"/>
        </w:rPr>
        <w:t>日</w:t>
      </w:r>
    </w:p>
    <w:p w:rsidR="009A28A2" w:rsidRDefault="009A28A2" w:rsidP="005F597F">
      <w:pPr>
        <w:ind w:firstLineChars="200" w:firstLine="420"/>
      </w:pPr>
    </w:p>
    <w:sectPr w:rsidR="009A28A2" w:rsidSect="009A28A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365E" w:rsidRDefault="0039365E" w:rsidP="005F597F">
      <w:r>
        <w:separator/>
      </w:r>
    </w:p>
  </w:endnote>
  <w:endnote w:type="continuationSeparator" w:id="1">
    <w:p w:rsidR="0039365E" w:rsidRDefault="0039365E" w:rsidP="005F597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365E" w:rsidRDefault="0039365E" w:rsidP="005F597F">
      <w:r>
        <w:separator/>
      </w:r>
    </w:p>
  </w:footnote>
  <w:footnote w:type="continuationSeparator" w:id="1">
    <w:p w:rsidR="0039365E" w:rsidRDefault="0039365E" w:rsidP="005F597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194E10EF"/>
    <w:rsid w:val="0039365E"/>
    <w:rsid w:val="005F597F"/>
    <w:rsid w:val="009A28A2"/>
    <w:rsid w:val="194E10E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A28A2"/>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9A28A2"/>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9A28A2"/>
    <w:pPr>
      <w:spacing w:beforeAutospacing="1" w:afterAutospacing="1"/>
      <w:jc w:val="left"/>
    </w:pPr>
    <w:rPr>
      <w:rFonts w:cs="Times New Roman"/>
      <w:kern w:val="0"/>
      <w:sz w:val="24"/>
    </w:rPr>
  </w:style>
  <w:style w:type="character" w:styleId="a4">
    <w:name w:val="Hyperlink"/>
    <w:basedOn w:val="a0"/>
    <w:rsid w:val="009A28A2"/>
    <w:rPr>
      <w:color w:val="0000FF"/>
      <w:u w:val="single"/>
    </w:rPr>
  </w:style>
  <w:style w:type="paragraph" w:styleId="a5">
    <w:name w:val="header"/>
    <w:basedOn w:val="a"/>
    <w:link w:val="Char"/>
    <w:rsid w:val="005F597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5F597F"/>
    <w:rPr>
      <w:rFonts w:asciiTheme="minorHAnsi" w:eastAsiaTheme="minorEastAsia" w:hAnsiTheme="minorHAnsi" w:cstheme="minorBidi"/>
      <w:kern w:val="2"/>
      <w:sz w:val="18"/>
      <w:szCs w:val="18"/>
    </w:rPr>
  </w:style>
  <w:style w:type="paragraph" w:styleId="a6">
    <w:name w:val="footer"/>
    <w:basedOn w:val="a"/>
    <w:link w:val="Char0"/>
    <w:rsid w:val="005F597F"/>
    <w:pPr>
      <w:tabs>
        <w:tab w:val="center" w:pos="4153"/>
        <w:tab w:val="right" w:pos="8306"/>
      </w:tabs>
      <w:snapToGrid w:val="0"/>
      <w:jc w:val="left"/>
    </w:pPr>
    <w:rPr>
      <w:sz w:val="18"/>
      <w:szCs w:val="18"/>
    </w:rPr>
  </w:style>
  <w:style w:type="character" w:customStyle="1" w:styleId="Char0">
    <w:name w:val="页脚 Char"/>
    <w:basedOn w:val="a0"/>
    <w:link w:val="a6"/>
    <w:rsid w:val="005F597F"/>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oe.gov.cn/s78/A13/tongzhi/202303/W020230323519297966972.pdf"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405</Words>
  <Characters>2315</Characters>
  <Application>Microsoft Office Word</Application>
  <DocSecurity>0</DocSecurity>
  <Lines>19</Lines>
  <Paragraphs>5</Paragraphs>
  <ScaleCrop>false</ScaleCrop>
  <Company/>
  <LinksUpToDate>false</LinksUpToDate>
  <CharactersWithSpaces>2715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小眉眉</dc:creator>
  <cp:lastModifiedBy>周明燕</cp:lastModifiedBy>
  <cp:revision>2</cp:revision>
  <dcterms:created xsi:type="dcterms:W3CDTF">2023-03-24T09:12:00Z</dcterms:created>
  <dcterms:modified xsi:type="dcterms:W3CDTF">2023-04-04T03:38:00Z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